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C67AE" w14:textId="77777777" w:rsidR="007F5A47" w:rsidRPr="00F04658" w:rsidRDefault="007F5A47" w:rsidP="007F5A47">
      <w:pPr>
        <w:pStyle w:val="ListParagraph"/>
        <w:numPr>
          <w:ilvl w:val="0"/>
          <w:numId w:val="1"/>
        </w:numPr>
        <w:autoSpaceDE w:val="0"/>
        <w:autoSpaceDN w:val="0"/>
        <w:adjustRightInd w:val="0"/>
        <w:spacing w:after="0" w:line="240" w:lineRule="auto"/>
        <w:rPr>
          <w:rFonts w:cs="Calibri"/>
          <w:b/>
          <w:u w:val="single"/>
        </w:rPr>
      </w:pPr>
      <w:r w:rsidRPr="00F04658">
        <w:rPr>
          <w:rFonts w:cs="Calibri"/>
          <w:b/>
          <w:u w:val="single"/>
        </w:rPr>
        <w:t>PURPOSE</w:t>
      </w:r>
    </w:p>
    <w:p w14:paraId="23625DE5" w14:textId="77777777" w:rsidR="00A732DC" w:rsidRDefault="00A732DC" w:rsidP="003A5CA0">
      <w:pPr>
        <w:pStyle w:val="Default"/>
        <w:ind w:left="720"/>
        <w:rPr>
          <w:rFonts w:asciiTheme="minorHAnsi" w:hAnsiTheme="minorHAnsi" w:cs="Calibri"/>
          <w:sz w:val="22"/>
          <w:szCs w:val="22"/>
        </w:rPr>
      </w:pPr>
    </w:p>
    <w:p w14:paraId="0FB8F24F" w14:textId="77777777" w:rsidR="00C45B47" w:rsidRPr="00F04658" w:rsidRDefault="00DC3534" w:rsidP="003A5CA0">
      <w:pPr>
        <w:pStyle w:val="Default"/>
        <w:ind w:left="720"/>
        <w:rPr>
          <w:rFonts w:asciiTheme="minorHAnsi" w:hAnsiTheme="minorHAnsi" w:cs="Calibri"/>
          <w:sz w:val="22"/>
          <w:szCs w:val="22"/>
        </w:rPr>
      </w:pPr>
      <w:r w:rsidRPr="00F04658">
        <w:rPr>
          <w:rFonts w:asciiTheme="minorHAnsi" w:hAnsiTheme="minorHAnsi" w:cs="Calibri"/>
          <w:sz w:val="22"/>
          <w:szCs w:val="22"/>
        </w:rPr>
        <w:t>The GMEC must establish and implement policies and procedures regarding the quality of education and the work environment for the residents in all programs. These polici</w:t>
      </w:r>
      <w:r w:rsidR="00367BF0" w:rsidRPr="00F04658">
        <w:rPr>
          <w:rFonts w:asciiTheme="minorHAnsi" w:hAnsiTheme="minorHAnsi" w:cs="Calibri"/>
          <w:sz w:val="22"/>
          <w:szCs w:val="22"/>
        </w:rPr>
        <w:t>es and procedures must include Resident Supervision: Monitor programs’ supervision of residents and ensure that supervision is consistent with:</w:t>
      </w:r>
    </w:p>
    <w:p w14:paraId="45348B8D" w14:textId="77777777" w:rsidR="00367BF0" w:rsidRPr="00F04658" w:rsidRDefault="00367BF0" w:rsidP="00367BF0">
      <w:pPr>
        <w:pStyle w:val="Default"/>
        <w:numPr>
          <w:ilvl w:val="0"/>
          <w:numId w:val="32"/>
        </w:numPr>
        <w:rPr>
          <w:rFonts w:asciiTheme="minorHAnsi" w:hAnsiTheme="minorHAnsi"/>
          <w:sz w:val="22"/>
          <w:szCs w:val="22"/>
        </w:rPr>
      </w:pPr>
      <w:r w:rsidRPr="00F04658">
        <w:rPr>
          <w:rFonts w:asciiTheme="minorHAnsi" w:hAnsiTheme="minorHAnsi" w:cs="Calibri"/>
          <w:sz w:val="22"/>
          <w:szCs w:val="22"/>
        </w:rPr>
        <w:t xml:space="preserve">Provision of safe and effective patient </w:t>
      </w:r>
      <w:proofErr w:type="gramStart"/>
      <w:r w:rsidRPr="00F04658">
        <w:rPr>
          <w:rFonts w:asciiTheme="minorHAnsi" w:hAnsiTheme="minorHAnsi" w:cs="Calibri"/>
          <w:sz w:val="22"/>
          <w:szCs w:val="22"/>
        </w:rPr>
        <w:t>care;</w:t>
      </w:r>
      <w:proofErr w:type="gramEnd"/>
    </w:p>
    <w:p w14:paraId="0BDA8BAC" w14:textId="77777777" w:rsidR="00367BF0" w:rsidRPr="00F04658" w:rsidRDefault="00367BF0" w:rsidP="00367BF0">
      <w:pPr>
        <w:pStyle w:val="Default"/>
        <w:numPr>
          <w:ilvl w:val="0"/>
          <w:numId w:val="32"/>
        </w:numPr>
        <w:rPr>
          <w:rFonts w:asciiTheme="minorHAnsi" w:hAnsiTheme="minorHAnsi"/>
          <w:sz w:val="22"/>
          <w:szCs w:val="22"/>
        </w:rPr>
      </w:pPr>
      <w:r w:rsidRPr="00F04658">
        <w:rPr>
          <w:rFonts w:asciiTheme="minorHAnsi" w:hAnsiTheme="minorHAnsi" w:cs="Calibri"/>
          <w:sz w:val="22"/>
          <w:szCs w:val="22"/>
        </w:rPr>
        <w:t xml:space="preserve">Educational needs of </w:t>
      </w:r>
      <w:proofErr w:type="gramStart"/>
      <w:r w:rsidRPr="00F04658">
        <w:rPr>
          <w:rFonts w:asciiTheme="minorHAnsi" w:hAnsiTheme="minorHAnsi" w:cs="Calibri"/>
          <w:sz w:val="22"/>
          <w:szCs w:val="22"/>
        </w:rPr>
        <w:t>residents;</w:t>
      </w:r>
      <w:proofErr w:type="gramEnd"/>
    </w:p>
    <w:p w14:paraId="5A2D0B17" w14:textId="77777777" w:rsidR="00367BF0" w:rsidRPr="00F04658" w:rsidRDefault="00367BF0" w:rsidP="00367BF0">
      <w:pPr>
        <w:pStyle w:val="Default"/>
        <w:numPr>
          <w:ilvl w:val="0"/>
          <w:numId w:val="32"/>
        </w:numPr>
        <w:rPr>
          <w:rFonts w:asciiTheme="minorHAnsi" w:hAnsiTheme="minorHAnsi"/>
          <w:sz w:val="22"/>
          <w:szCs w:val="22"/>
        </w:rPr>
      </w:pPr>
      <w:r w:rsidRPr="00F04658">
        <w:rPr>
          <w:rFonts w:asciiTheme="minorHAnsi" w:hAnsiTheme="minorHAnsi" w:cs="Calibri"/>
          <w:sz w:val="22"/>
          <w:szCs w:val="22"/>
        </w:rPr>
        <w:t>Progressive responsibility appropriate to residents’ level of education, competence, and experience; and,</w:t>
      </w:r>
    </w:p>
    <w:p w14:paraId="0D0F67BF" w14:textId="77777777" w:rsidR="00367BF0" w:rsidRPr="00F04658" w:rsidRDefault="00367BF0" w:rsidP="00367BF0">
      <w:pPr>
        <w:pStyle w:val="Default"/>
        <w:numPr>
          <w:ilvl w:val="0"/>
          <w:numId w:val="32"/>
        </w:numPr>
        <w:rPr>
          <w:rFonts w:asciiTheme="minorHAnsi" w:hAnsiTheme="minorHAnsi"/>
          <w:sz w:val="22"/>
          <w:szCs w:val="22"/>
        </w:rPr>
      </w:pPr>
      <w:r w:rsidRPr="00F04658">
        <w:rPr>
          <w:rFonts w:asciiTheme="minorHAnsi" w:hAnsiTheme="minorHAnsi" w:cs="Calibri"/>
          <w:sz w:val="22"/>
          <w:szCs w:val="22"/>
        </w:rPr>
        <w:t>Other applicable Common and specialty/subspecialty-specific Program Requirements.</w:t>
      </w:r>
    </w:p>
    <w:p w14:paraId="230BBD91" w14:textId="77777777" w:rsidR="007F5A47" w:rsidRPr="00F04658" w:rsidRDefault="007F5A47" w:rsidP="007F5A47">
      <w:pPr>
        <w:autoSpaceDE w:val="0"/>
        <w:autoSpaceDN w:val="0"/>
        <w:adjustRightInd w:val="0"/>
        <w:spacing w:after="0" w:line="240" w:lineRule="auto"/>
        <w:rPr>
          <w:rFonts w:cs="Calibri"/>
          <w:b/>
          <w:u w:val="single"/>
        </w:rPr>
      </w:pPr>
    </w:p>
    <w:p w14:paraId="1474197A" w14:textId="77777777" w:rsidR="007F5A47" w:rsidRPr="00704593" w:rsidRDefault="007F5A47" w:rsidP="007F5A47">
      <w:pPr>
        <w:pStyle w:val="ListParagraph"/>
        <w:numPr>
          <w:ilvl w:val="0"/>
          <w:numId w:val="1"/>
        </w:numPr>
        <w:autoSpaceDE w:val="0"/>
        <w:autoSpaceDN w:val="0"/>
        <w:adjustRightInd w:val="0"/>
        <w:spacing w:after="0" w:line="240" w:lineRule="auto"/>
        <w:rPr>
          <w:rFonts w:cs="Calibri"/>
          <w:b/>
        </w:rPr>
      </w:pPr>
      <w:r w:rsidRPr="00704593">
        <w:rPr>
          <w:rFonts w:cs="Calibri"/>
          <w:b/>
          <w:u w:val="single"/>
        </w:rPr>
        <w:t>POLICY</w:t>
      </w:r>
    </w:p>
    <w:p w14:paraId="450220D5" w14:textId="77777777" w:rsidR="00BB017E" w:rsidRPr="00704593" w:rsidRDefault="00BB017E" w:rsidP="00BB017E">
      <w:pPr>
        <w:pStyle w:val="Default"/>
        <w:rPr>
          <w:rFonts w:asciiTheme="minorHAnsi" w:hAnsiTheme="minorHAnsi"/>
          <w:sz w:val="22"/>
          <w:szCs w:val="22"/>
        </w:rPr>
      </w:pPr>
    </w:p>
    <w:p w14:paraId="7DB2581A" w14:textId="77777777" w:rsidR="00BB017E" w:rsidRPr="00CD1D31" w:rsidRDefault="00BB017E" w:rsidP="00F04658">
      <w:pPr>
        <w:pStyle w:val="Default"/>
        <w:ind w:left="720"/>
        <w:rPr>
          <w:rFonts w:asciiTheme="minorHAnsi" w:hAnsiTheme="minorHAnsi"/>
          <w:color w:val="auto"/>
          <w:sz w:val="22"/>
          <w:szCs w:val="22"/>
        </w:rPr>
      </w:pPr>
      <w:r w:rsidRPr="00CD1D31">
        <w:rPr>
          <w:rFonts w:asciiTheme="minorHAnsi" w:hAnsiTheme="minorHAnsi"/>
          <w:color w:val="auto"/>
          <w:sz w:val="22"/>
          <w:szCs w:val="22"/>
        </w:rPr>
        <w:t xml:space="preserve">This policy is intended to guide patient care activities in which </w:t>
      </w:r>
      <w:r w:rsidR="00F04658" w:rsidRPr="00CD1D31">
        <w:rPr>
          <w:rFonts w:asciiTheme="minorHAnsi" w:hAnsiTheme="minorHAnsi"/>
          <w:color w:val="auto"/>
          <w:sz w:val="22"/>
          <w:szCs w:val="22"/>
        </w:rPr>
        <w:t>residents</w:t>
      </w:r>
      <w:r w:rsidR="008624DF" w:rsidRPr="00CD1D31">
        <w:rPr>
          <w:rFonts w:asciiTheme="minorHAnsi" w:hAnsiTheme="minorHAnsi"/>
          <w:color w:val="auto"/>
          <w:sz w:val="22"/>
          <w:szCs w:val="22"/>
        </w:rPr>
        <w:t xml:space="preserve"> participate in are</w:t>
      </w:r>
      <w:r w:rsidRPr="00CD1D31">
        <w:rPr>
          <w:rFonts w:asciiTheme="minorHAnsi" w:hAnsiTheme="minorHAnsi"/>
          <w:color w:val="auto"/>
          <w:sz w:val="22"/>
          <w:szCs w:val="22"/>
        </w:rPr>
        <w:t xml:space="preserve"> appropriately supervised and documented </w:t>
      </w:r>
      <w:proofErr w:type="gramStart"/>
      <w:r w:rsidRPr="00CD1D31">
        <w:rPr>
          <w:rFonts w:asciiTheme="minorHAnsi" w:hAnsiTheme="minorHAnsi"/>
          <w:color w:val="auto"/>
          <w:sz w:val="22"/>
          <w:szCs w:val="22"/>
        </w:rPr>
        <w:t>during the course of</w:t>
      </w:r>
      <w:proofErr w:type="gramEnd"/>
      <w:r w:rsidRPr="00CD1D31">
        <w:rPr>
          <w:rFonts w:asciiTheme="minorHAnsi" w:hAnsiTheme="minorHAnsi"/>
          <w:color w:val="auto"/>
          <w:sz w:val="22"/>
          <w:szCs w:val="22"/>
        </w:rPr>
        <w:t xml:space="preserve"> their inpatient and outpatient training. </w:t>
      </w:r>
      <w:r w:rsidR="00F04658" w:rsidRPr="00CD1D31">
        <w:rPr>
          <w:rFonts w:asciiTheme="minorHAnsi" w:hAnsiTheme="minorHAnsi"/>
          <w:color w:val="auto"/>
          <w:sz w:val="22"/>
          <w:szCs w:val="22"/>
        </w:rPr>
        <w:t xml:space="preserve">Resident </w:t>
      </w:r>
      <w:r w:rsidRPr="00CD1D31">
        <w:rPr>
          <w:rFonts w:asciiTheme="minorHAnsi" w:hAnsiTheme="minorHAnsi"/>
          <w:color w:val="auto"/>
          <w:sz w:val="22"/>
          <w:szCs w:val="22"/>
        </w:rPr>
        <w:t>supervision begin</w:t>
      </w:r>
      <w:r w:rsidR="00F04658" w:rsidRPr="00CD1D31">
        <w:rPr>
          <w:rFonts w:asciiTheme="minorHAnsi" w:hAnsiTheme="minorHAnsi"/>
          <w:color w:val="auto"/>
          <w:sz w:val="22"/>
          <w:szCs w:val="22"/>
        </w:rPr>
        <w:t>s</w:t>
      </w:r>
      <w:r w:rsidRPr="00CD1D31">
        <w:rPr>
          <w:rFonts w:asciiTheme="minorHAnsi" w:hAnsiTheme="minorHAnsi"/>
          <w:color w:val="auto"/>
          <w:sz w:val="22"/>
          <w:szCs w:val="22"/>
        </w:rPr>
        <w:t xml:space="preserve"> with the initial contact with the attending physician and the patient and continue</w:t>
      </w:r>
      <w:r w:rsidR="00F04658" w:rsidRPr="00CD1D31">
        <w:rPr>
          <w:rFonts w:asciiTheme="minorHAnsi" w:hAnsiTheme="minorHAnsi"/>
          <w:color w:val="auto"/>
          <w:sz w:val="22"/>
          <w:szCs w:val="22"/>
        </w:rPr>
        <w:t>s</w:t>
      </w:r>
      <w:r w:rsidRPr="00CD1D31">
        <w:rPr>
          <w:rFonts w:asciiTheme="minorHAnsi" w:hAnsiTheme="minorHAnsi"/>
          <w:color w:val="auto"/>
          <w:sz w:val="22"/>
          <w:szCs w:val="22"/>
        </w:rPr>
        <w:t xml:space="preserve"> through all </w:t>
      </w:r>
      <w:r w:rsidR="008624DF" w:rsidRPr="00CD1D31">
        <w:rPr>
          <w:rFonts w:asciiTheme="minorHAnsi" w:hAnsiTheme="minorHAnsi"/>
          <w:color w:val="auto"/>
          <w:sz w:val="22"/>
          <w:szCs w:val="22"/>
        </w:rPr>
        <w:t xml:space="preserve">care experiences </w:t>
      </w:r>
      <w:r w:rsidRPr="00CD1D31">
        <w:rPr>
          <w:rFonts w:asciiTheme="minorHAnsi" w:hAnsiTheme="minorHAnsi"/>
          <w:color w:val="auto"/>
          <w:sz w:val="22"/>
          <w:szCs w:val="22"/>
        </w:rPr>
        <w:t xml:space="preserve">the </w:t>
      </w:r>
      <w:r w:rsidR="00F04658" w:rsidRPr="00CD1D31">
        <w:rPr>
          <w:rFonts w:asciiTheme="minorHAnsi" w:hAnsiTheme="minorHAnsi"/>
          <w:color w:val="auto"/>
          <w:sz w:val="22"/>
          <w:szCs w:val="22"/>
        </w:rPr>
        <w:t>resident</w:t>
      </w:r>
      <w:r w:rsidRPr="00CD1D31">
        <w:rPr>
          <w:rFonts w:asciiTheme="minorHAnsi" w:hAnsiTheme="minorHAnsi"/>
          <w:color w:val="auto"/>
          <w:sz w:val="22"/>
          <w:szCs w:val="22"/>
        </w:rPr>
        <w:t xml:space="preserve"> has with the patient. All </w:t>
      </w:r>
      <w:r w:rsidR="00F04658" w:rsidRPr="00CD1D31">
        <w:rPr>
          <w:rFonts w:asciiTheme="minorHAnsi" w:hAnsiTheme="minorHAnsi"/>
          <w:color w:val="auto"/>
          <w:sz w:val="22"/>
          <w:szCs w:val="22"/>
        </w:rPr>
        <w:t>resident</w:t>
      </w:r>
      <w:r w:rsidRPr="00CD1D31">
        <w:rPr>
          <w:rFonts w:asciiTheme="minorHAnsi" w:hAnsiTheme="minorHAnsi"/>
          <w:color w:val="auto"/>
          <w:sz w:val="22"/>
          <w:szCs w:val="22"/>
        </w:rPr>
        <w:t xml:space="preserve"> patient care activities are to be conducted within the scope of their training programs. </w:t>
      </w:r>
    </w:p>
    <w:p w14:paraId="3DEADDA6" w14:textId="77777777" w:rsidR="00F04658" w:rsidRPr="00CD1D31" w:rsidRDefault="00F04658" w:rsidP="00F04658">
      <w:pPr>
        <w:pStyle w:val="Default"/>
        <w:ind w:left="720"/>
        <w:rPr>
          <w:rFonts w:asciiTheme="minorHAnsi" w:hAnsiTheme="minorHAnsi"/>
          <w:color w:val="auto"/>
          <w:sz w:val="22"/>
          <w:szCs w:val="22"/>
        </w:rPr>
      </w:pPr>
    </w:p>
    <w:p w14:paraId="7645FB0C" w14:textId="77777777" w:rsidR="00DC3534" w:rsidRPr="00CD1D31" w:rsidRDefault="00BB017E" w:rsidP="008719F9">
      <w:pPr>
        <w:pStyle w:val="Default"/>
        <w:ind w:left="720"/>
        <w:rPr>
          <w:rFonts w:asciiTheme="minorHAnsi" w:hAnsiTheme="minorHAnsi"/>
          <w:color w:val="auto"/>
          <w:sz w:val="22"/>
          <w:szCs w:val="22"/>
        </w:rPr>
      </w:pPr>
      <w:r w:rsidRPr="00CD1D31">
        <w:rPr>
          <w:rFonts w:asciiTheme="minorHAnsi" w:hAnsiTheme="minorHAnsi"/>
          <w:color w:val="auto"/>
          <w:sz w:val="22"/>
          <w:szCs w:val="22"/>
        </w:rPr>
        <w:t xml:space="preserve">All </w:t>
      </w:r>
      <w:r w:rsidR="00F04658" w:rsidRPr="00CD1D31">
        <w:rPr>
          <w:rFonts w:asciiTheme="minorHAnsi" w:hAnsiTheme="minorHAnsi"/>
          <w:color w:val="auto"/>
          <w:sz w:val="22"/>
          <w:szCs w:val="22"/>
        </w:rPr>
        <w:t xml:space="preserve">Stanford Hospital and Clinic Training Programs, including affiliate training sites, </w:t>
      </w:r>
      <w:r w:rsidRPr="00CD1D31">
        <w:rPr>
          <w:rFonts w:asciiTheme="minorHAnsi" w:hAnsiTheme="minorHAnsi"/>
          <w:color w:val="auto"/>
          <w:sz w:val="22"/>
          <w:szCs w:val="22"/>
        </w:rPr>
        <w:t>will adhere to current accreditation requirements as set forth by the Accreditation Council for Graduate Medical Education (ACGME</w:t>
      </w:r>
      <w:r w:rsidR="00F04658" w:rsidRPr="00CD1D31">
        <w:rPr>
          <w:rFonts w:asciiTheme="minorHAnsi" w:hAnsiTheme="minorHAnsi"/>
          <w:color w:val="auto"/>
          <w:sz w:val="22"/>
          <w:szCs w:val="22"/>
        </w:rPr>
        <w:t xml:space="preserve">) </w:t>
      </w:r>
      <w:r w:rsidRPr="00CD1D31">
        <w:rPr>
          <w:rFonts w:asciiTheme="minorHAnsi" w:hAnsiTheme="minorHAnsi"/>
          <w:color w:val="auto"/>
          <w:sz w:val="22"/>
          <w:szCs w:val="22"/>
        </w:rPr>
        <w:t>for all matters pertaining to the house officer training programs, including the level of supervision provided.</w:t>
      </w:r>
      <w:r w:rsidR="008624DF" w:rsidRPr="00CD1D31">
        <w:rPr>
          <w:rFonts w:asciiTheme="minorHAnsi" w:hAnsiTheme="minorHAnsi"/>
          <w:color w:val="auto"/>
          <w:sz w:val="22"/>
          <w:szCs w:val="22"/>
        </w:rPr>
        <w:t xml:space="preserve"> </w:t>
      </w:r>
    </w:p>
    <w:p w14:paraId="75BD0214" w14:textId="77777777" w:rsidR="00BB017E" w:rsidRPr="00CD1D31" w:rsidRDefault="00BB017E" w:rsidP="00DC3534">
      <w:pPr>
        <w:pStyle w:val="Default"/>
        <w:rPr>
          <w:rFonts w:asciiTheme="minorHAnsi" w:hAnsiTheme="minorHAnsi"/>
          <w:color w:val="auto"/>
          <w:sz w:val="22"/>
          <w:szCs w:val="22"/>
        </w:rPr>
      </w:pPr>
    </w:p>
    <w:p w14:paraId="6F05A9E1" w14:textId="77777777" w:rsidR="008719F9" w:rsidRPr="00CD1D31" w:rsidRDefault="00367BF0" w:rsidP="008719F9">
      <w:pPr>
        <w:pStyle w:val="Default"/>
        <w:ind w:left="720"/>
        <w:rPr>
          <w:rFonts w:asciiTheme="minorHAnsi" w:hAnsiTheme="minorHAnsi"/>
          <w:color w:val="auto"/>
          <w:sz w:val="22"/>
          <w:szCs w:val="22"/>
        </w:rPr>
      </w:pPr>
      <w:r w:rsidRPr="00CD1D31">
        <w:rPr>
          <w:rFonts w:asciiTheme="minorHAnsi" w:hAnsiTheme="minorHAnsi" w:cs="Calibri"/>
          <w:color w:val="auto"/>
          <w:sz w:val="22"/>
          <w:szCs w:val="22"/>
        </w:rPr>
        <w:t xml:space="preserve">Each residency training program is required to maintain a level of faculty supervision of residents which complies with ACGME requirements. </w:t>
      </w:r>
      <w:r w:rsidR="008719F9" w:rsidRPr="00CD1D31">
        <w:rPr>
          <w:rFonts w:asciiTheme="minorHAnsi" w:hAnsiTheme="minorHAnsi" w:cs="Calibri"/>
          <w:color w:val="auto"/>
          <w:sz w:val="22"/>
          <w:szCs w:val="22"/>
        </w:rPr>
        <w:t xml:space="preserve"> </w:t>
      </w:r>
      <w:r w:rsidRPr="00CD1D31">
        <w:rPr>
          <w:rFonts w:asciiTheme="minorHAnsi" w:hAnsiTheme="minorHAnsi" w:cs="Calibri"/>
          <w:color w:val="auto"/>
          <w:sz w:val="22"/>
          <w:szCs w:val="22"/>
        </w:rPr>
        <w:t>Each department shall develop a policy regarding residents who request to participate in patient care provided by non-faculty and non-visiting clinical faculty physicians. This policy will include a provision to assess the educational benefits of the participation.</w:t>
      </w:r>
      <w:r w:rsidR="008719F9" w:rsidRPr="00CD1D31">
        <w:rPr>
          <w:rFonts w:asciiTheme="minorHAnsi" w:hAnsiTheme="minorHAnsi" w:cs="Calibri"/>
          <w:color w:val="auto"/>
          <w:sz w:val="22"/>
          <w:szCs w:val="22"/>
        </w:rPr>
        <w:t xml:space="preserve"> </w:t>
      </w:r>
      <w:r w:rsidR="008719F9" w:rsidRPr="00CD1D31">
        <w:rPr>
          <w:rFonts w:asciiTheme="minorHAnsi" w:hAnsiTheme="minorHAnsi"/>
          <w:color w:val="auto"/>
          <w:sz w:val="22"/>
          <w:szCs w:val="22"/>
        </w:rPr>
        <w:t xml:space="preserve">The proximity and timing of supervision as well as the specific tasks delegated to resident depends on </w:t>
      </w:r>
      <w:proofErr w:type="gramStart"/>
      <w:r w:rsidR="008719F9" w:rsidRPr="00CD1D31">
        <w:rPr>
          <w:rFonts w:asciiTheme="minorHAnsi" w:hAnsiTheme="minorHAnsi"/>
          <w:color w:val="auto"/>
          <w:sz w:val="22"/>
          <w:szCs w:val="22"/>
        </w:rPr>
        <w:t>a number of</w:t>
      </w:r>
      <w:proofErr w:type="gramEnd"/>
      <w:r w:rsidR="008719F9" w:rsidRPr="00CD1D31">
        <w:rPr>
          <w:rFonts w:asciiTheme="minorHAnsi" w:hAnsiTheme="minorHAnsi"/>
          <w:color w:val="auto"/>
          <w:sz w:val="22"/>
          <w:szCs w:val="22"/>
        </w:rPr>
        <w:t xml:space="preserve"> factors including: </w:t>
      </w:r>
    </w:p>
    <w:p w14:paraId="47531D3D" w14:textId="77777777" w:rsidR="008719F9" w:rsidRPr="00CD1D31" w:rsidRDefault="008719F9" w:rsidP="008719F9">
      <w:pPr>
        <w:pStyle w:val="Default"/>
        <w:numPr>
          <w:ilvl w:val="0"/>
          <w:numId w:val="35"/>
        </w:numPr>
        <w:rPr>
          <w:rFonts w:asciiTheme="minorHAnsi" w:hAnsiTheme="minorHAnsi"/>
          <w:color w:val="auto"/>
          <w:sz w:val="22"/>
          <w:szCs w:val="22"/>
        </w:rPr>
      </w:pPr>
      <w:r w:rsidRPr="00CD1D31">
        <w:rPr>
          <w:rFonts w:asciiTheme="minorHAnsi" w:hAnsiTheme="minorHAnsi"/>
          <w:color w:val="auto"/>
          <w:sz w:val="22"/>
          <w:szCs w:val="22"/>
        </w:rPr>
        <w:t xml:space="preserve">the acuity of the situation and the degree of risk to the patient. </w:t>
      </w:r>
    </w:p>
    <w:p w14:paraId="5A959AC7" w14:textId="77777777" w:rsidR="008719F9" w:rsidRPr="00CD1D31" w:rsidRDefault="008719F9" w:rsidP="008719F9">
      <w:pPr>
        <w:pStyle w:val="Default"/>
        <w:numPr>
          <w:ilvl w:val="0"/>
          <w:numId w:val="35"/>
        </w:numPr>
        <w:rPr>
          <w:rFonts w:asciiTheme="minorHAnsi" w:hAnsiTheme="minorHAnsi"/>
          <w:color w:val="auto"/>
          <w:sz w:val="22"/>
          <w:szCs w:val="22"/>
        </w:rPr>
      </w:pPr>
      <w:r w:rsidRPr="00CD1D31">
        <w:rPr>
          <w:rFonts w:asciiTheme="minorHAnsi" w:hAnsiTheme="minorHAnsi"/>
          <w:color w:val="auto"/>
          <w:sz w:val="22"/>
          <w:szCs w:val="22"/>
        </w:rPr>
        <w:t>the level of training (</w:t>
      </w:r>
      <w:proofErr w:type="gramStart"/>
      <w:r w:rsidRPr="00CD1D31">
        <w:rPr>
          <w:rFonts w:asciiTheme="minorHAnsi" w:hAnsiTheme="minorHAnsi"/>
          <w:color w:val="auto"/>
          <w:sz w:val="22"/>
          <w:szCs w:val="22"/>
        </w:rPr>
        <w:t>i.e.</w:t>
      </w:r>
      <w:proofErr w:type="gramEnd"/>
      <w:r w:rsidRPr="00CD1D31">
        <w:rPr>
          <w:rFonts w:asciiTheme="minorHAnsi" w:hAnsiTheme="minorHAnsi"/>
          <w:color w:val="auto"/>
          <w:sz w:val="22"/>
          <w:szCs w:val="22"/>
        </w:rPr>
        <w:t xml:space="preserve"> year in residency) of the house officer </w:t>
      </w:r>
    </w:p>
    <w:p w14:paraId="385FBA88" w14:textId="77777777" w:rsidR="008719F9" w:rsidRPr="00CD1D31" w:rsidRDefault="008719F9" w:rsidP="008719F9">
      <w:pPr>
        <w:pStyle w:val="Default"/>
        <w:numPr>
          <w:ilvl w:val="0"/>
          <w:numId w:val="35"/>
        </w:numPr>
        <w:rPr>
          <w:rFonts w:asciiTheme="minorHAnsi" w:hAnsiTheme="minorHAnsi"/>
          <w:color w:val="auto"/>
          <w:sz w:val="22"/>
          <w:szCs w:val="22"/>
        </w:rPr>
      </w:pPr>
      <w:r w:rsidRPr="00CD1D31">
        <w:rPr>
          <w:rFonts w:asciiTheme="minorHAnsi" w:hAnsiTheme="minorHAnsi"/>
          <w:color w:val="auto"/>
          <w:sz w:val="22"/>
          <w:szCs w:val="22"/>
        </w:rPr>
        <w:t xml:space="preserve">the skill and experience of the house officer with the particular care situation </w:t>
      </w:r>
    </w:p>
    <w:p w14:paraId="4B83BF02" w14:textId="77777777" w:rsidR="008719F9" w:rsidRPr="00CD1D31" w:rsidRDefault="008719F9" w:rsidP="008719F9">
      <w:pPr>
        <w:pStyle w:val="Default"/>
        <w:numPr>
          <w:ilvl w:val="0"/>
          <w:numId w:val="35"/>
        </w:numPr>
        <w:rPr>
          <w:rFonts w:asciiTheme="minorHAnsi" w:hAnsiTheme="minorHAnsi"/>
          <w:color w:val="auto"/>
          <w:sz w:val="22"/>
          <w:szCs w:val="22"/>
        </w:rPr>
      </w:pPr>
      <w:r w:rsidRPr="00CD1D31">
        <w:rPr>
          <w:rFonts w:asciiTheme="minorHAnsi" w:hAnsiTheme="minorHAnsi"/>
          <w:color w:val="auto"/>
          <w:sz w:val="22"/>
          <w:szCs w:val="22"/>
        </w:rPr>
        <w:t xml:space="preserve">the familiarity of the supervising physician with the house officer’s abilities </w:t>
      </w:r>
    </w:p>
    <w:p w14:paraId="18439422" w14:textId="77777777" w:rsidR="00164BAB" w:rsidRPr="00CD1D31" w:rsidRDefault="00164BAB" w:rsidP="008719F9">
      <w:pPr>
        <w:autoSpaceDE w:val="0"/>
        <w:autoSpaceDN w:val="0"/>
        <w:adjustRightInd w:val="0"/>
        <w:spacing w:after="0" w:line="240" w:lineRule="auto"/>
        <w:ind w:left="720"/>
        <w:rPr>
          <w:rFonts w:cs="Calibri"/>
        </w:rPr>
      </w:pPr>
    </w:p>
    <w:p w14:paraId="73969F1C" w14:textId="77777777" w:rsidR="008719F9" w:rsidRPr="00CD1D31" w:rsidRDefault="008719F9" w:rsidP="008719F9">
      <w:pPr>
        <w:pStyle w:val="ListParagraph"/>
        <w:autoSpaceDE w:val="0"/>
        <w:autoSpaceDN w:val="0"/>
        <w:adjustRightInd w:val="0"/>
        <w:spacing w:after="0" w:line="240" w:lineRule="auto"/>
        <w:rPr>
          <w:rFonts w:cs="Calibri"/>
          <w:b/>
          <w:u w:val="single"/>
        </w:rPr>
      </w:pPr>
    </w:p>
    <w:p w14:paraId="1283602D" w14:textId="77777777" w:rsidR="008719F9" w:rsidRPr="00FC3923" w:rsidRDefault="008719F9" w:rsidP="00FC3923">
      <w:pPr>
        <w:autoSpaceDE w:val="0"/>
        <w:autoSpaceDN w:val="0"/>
        <w:adjustRightInd w:val="0"/>
        <w:spacing w:after="0" w:line="240" w:lineRule="auto"/>
        <w:rPr>
          <w:rFonts w:cs="Calibri"/>
          <w:b/>
          <w:u w:val="single"/>
        </w:rPr>
      </w:pPr>
    </w:p>
    <w:p w14:paraId="550D53EC" w14:textId="77777777" w:rsidR="007F5A47" w:rsidRPr="00CD1D31" w:rsidRDefault="007F5A47" w:rsidP="007F5A47">
      <w:pPr>
        <w:pStyle w:val="ListParagraph"/>
        <w:numPr>
          <w:ilvl w:val="0"/>
          <w:numId w:val="1"/>
        </w:numPr>
        <w:autoSpaceDE w:val="0"/>
        <w:autoSpaceDN w:val="0"/>
        <w:adjustRightInd w:val="0"/>
        <w:spacing w:after="0" w:line="240" w:lineRule="auto"/>
        <w:rPr>
          <w:rFonts w:cs="Calibri"/>
          <w:b/>
          <w:u w:val="single"/>
        </w:rPr>
      </w:pPr>
      <w:r w:rsidRPr="00CD1D31">
        <w:rPr>
          <w:rFonts w:cs="Calibri"/>
          <w:b/>
          <w:u w:val="single"/>
        </w:rPr>
        <w:lastRenderedPageBreak/>
        <w:t>PROCEDURES</w:t>
      </w:r>
    </w:p>
    <w:p w14:paraId="7B5959B3" w14:textId="77777777" w:rsidR="003A5CA0" w:rsidRPr="00CD1D31" w:rsidRDefault="003A5CA0" w:rsidP="003A5CA0">
      <w:pPr>
        <w:pStyle w:val="Default"/>
        <w:rPr>
          <w:color w:val="auto"/>
        </w:rPr>
      </w:pPr>
    </w:p>
    <w:p w14:paraId="2DD3277B" w14:textId="77777777" w:rsidR="008624DF" w:rsidRPr="00CD1D31" w:rsidRDefault="008624DF" w:rsidP="008719F9">
      <w:pPr>
        <w:pStyle w:val="Default"/>
        <w:ind w:left="720"/>
        <w:rPr>
          <w:rFonts w:asciiTheme="minorHAnsi" w:hAnsiTheme="minorHAnsi"/>
          <w:color w:val="auto"/>
          <w:sz w:val="22"/>
          <w:szCs w:val="22"/>
        </w:rPr>
      </w:pPr>
      <w:r w:rsidRPr="00CD1D31">
        <w:rPr>
          <w:rFonts w:asciiTheme="minorHAnsi" w:hAnsiTheme="minorHAnsi"/>
          <w:color w:val="auto"/>
          <w:sz w:val="22"/>
          <w:szCs w:val="22"/>
        </w:rPr>
        <w:t xml:space="preserve">Each training program director shall develop explicit, written descriptions of supervisory lines of responsibility for the care of patients. Such guidelines must be communicated to all residents and all members of the programs’ teaching staff. Residents must be provided with prompt reliable systems for communication and interaction with attending physicians. </w:t>
      </w:r>
      <w:r w:rsidRPr="00CD1D31">
        <w:rPr>
          <w:rFonts w:asciiTheme="minorHAnsi" w:hAnsiTheme="minorHAnsi" w:cs="Calibri"/>
          <w:color w:val="auto"/>
          <w:sz w:val="22"/>
          <w:szCs w:val="22"/>
        </w:rPr>
        <w:t>Resident supervision should reflect graduated levels of responsibility based on individual skill and level of training. A</w:t>
      </w:r>
      <w:r w:rsidRPr="00CD1D31">
        <w:rPr>
          <w:rFonts w:asciiTheme="minorHAnsi" w:hAnsiTheme="minorHAnsi"/>
          <w:color w:val="auto"/>
          <w:sz w:val="22"/>
          <w:szCs w:val="22"/>
        </w:rPr>
        <w:t xml:space="preserve">ttending physicians must be scheduled to ensure that supervision is readily available to the resident on duty, particularly during on call periods. The level of responsibility accorded to each resident must be determined by the teaching faculty according to the program-specific criteria for competency-based evaluation and promotion. </w:t>
      </w:r>
    </w:p>
    <w:p w14:paraId="119A6F2A" w14:textId="77777777" w:rsidR="00BB017E" w:rsidRPr="00CD1D31" w:rsidRDefault="00BB017E" w:rsidP="008719F9">
      <w:pPr>
        <w:pStyle w:val="Default"/>
        <w:rPr>
          <w:rFonts w:asciiTheme="minorHAnsi" w:hAnsiTheme="minorHAnsi"/>
          <w:color w:val="auto"/>
          <w:sz w:val="22"/>
          <w:szCs w:val="22"/>
        </w:rPr>
      </w:pPr>
    </w:p>
    <w:p w14:paraId="6CA7649D" w14:textId="77777777" w:rsidR="00BB017E" w:rsidRPr="00CD1D31" w:rsidRDefault="00BB017E" w:rsidP="008719F9">
      <w:pPr>
        <w:pStyle w:val="Default"/>
        <w:ind w:firstLine="720"/>
        <w:rPr>
          <w:rFonts w:asciiTheme="minorHAnsi" w:hAnsiTheme="minorHAnsi"/>
          <w:color w:val="auto"/>
          <w:sz w:val="22"/>
          <w:szCs w:val="22"/>
        </w:rPr>
      </w:pPr>
      <w:r w:rsidRPr="00CD1D31">
        <w:rPr>
          <w:rFonts w:asciiTheme="minorHAnsi" w:hAnsiTheme="minorHAnsi"/>
          <w:b/>
          <w:bCs/>
          <w:color w:val="auto"/>
          <w:sz w:val="22"/>
          <w:szCs w:val="22"/>
          <w:u w:val="single"/>
        </w:rPr>
        <w:t xml:space="preserve">Monitoring </w:t>
      </w:r>
    </w:p>
    <w:p w14:paraId="6CCBCA60" w14:textId="77777777" w:rsidR="00BB017E" w:rsidRPr="00CD1D31" w:rsidRDefault="00BB017E" w:rsidP="008719F9">
      <w:pPr>
        <w:pStyle w:val="Default"/>
        <w:numPr>
          <w:ilvl w:val="0"/>
          <w:numId w:val="38"/>
        </w:numPr>
        <w:rPr>
          <w:rFonts w:asciiTheme="minorHAnsi" w:hAnsiTheme="minorHAnsi"/>
          <w:color w:val="auto"/>
          <w:sz w:val="22"/>
          <w:szCs w:val="22"/>
        </w:rPr>
      </w:pPr>
      <w:r w:rsidRPr="00CD1D31">
        <w:rPr>
          <w:rFonts w:asciiTheme="minorHAnsi" w:hAnsiTheme="minorHAnsi"/>
          <w:color w:val="auto"/>
          <w:sz w:val="22"/>
          <w:szCs w:val="22"/>
        </w:rPr>
        <w:t xml:space="preserve">The GME Office shall maintain </w:t>
      </w:r>
      <w:r w:rsidR="008719F9" w:rsidRPr="00CD1D31">
        <w:rPr>
          <w:rFonts w:asciiTheme="minorHAnsi" w:hAnsiTheme="minorHAnsi"/>
          <w:color w:val="auto"/>
          <w:sz w:val="22"/>
          <w:szCs w:val="22"/>
        </w:rPr>
        <w:t>program-specific supervision policies on MedHub</w:t>
      </w:r>
      <w:r w:rsidRPr="00CD1D31">
        <w:rPr>
          <w:rFonts w:asciiTheme="minorHAnsi" w:hAnsiTheme="minorHAnsi"/>
          <w:color w:val="auto"/>
          <w:sz w:val="22"/>
          <w:szCs w:val="22"/>
        </w:rPr>
        <w:t xml:space="preserve"> </w:t>
      </w:r>
      <w:r w:rsidR="008719F9" w:rsidRPr="00CD1D31">
        <w:rPr>
          <w:rFonts w:asciiTheme="minorHAnsi" w:hAnsiTheme="minorHAnsi"/>
          <w:color w:val="auto"/>
          <w:sz w:val="22"/>
          <w:szCs w:val="22"/>
        </w:rPr>
        <w:t xml:space="preserve">and shall take steps to </w:t>
      </w:r>
      <w:r w:rsidRPr="00CD1D31">
        <w:rPr>
          <w:rFonts w:asciiTheme="minorHAnsi" w:hAnsiTheme="minorHAnsi"/>
          <w:color w:val="auto"/>
          <w:sz w:val="22"/>
          <w:szCs w:val="22"/>
        </w:rPr>
        <w:t xml:space="preserve">ensure that this file is updated periodically. </w:t>
      </w:r>
    </w:p>
    <w:p w14:paraId="611FC214" w14:textId="77777777" w:rsidR="00BB017E" w:rsidRPr="00CD1D31" w:rsidRDefault="00BB017E" w:rsidP="008719F9">
      <w:pPr>
        <w:pStyle w:val="Default"/>
        <w:numPr>
          <w:ilvl w:val="0"/>
          <w:numId w:val="38"/>
        </w:numPr>
        <w:rPr>
          <w:rFonts w:asciiTheme="minorHAnsi" w:hAnsiTheme="minorHAnsi"/>
          <w:color w:val="auto"/>
          <w:sz w:val="22"/>
          <w:szCs w:val="22"/>
        </w:rPr>
      </w:pPr>
      <w:r w:rsidRPr="00CD1D31">
        <w:rPr>
          <w:rFonts w:asciiTheme="minorHAnsi" w:hAnsiTheme="minorHAnsi"/>
          <w:color w:val="auto"/>
          <w:sz w:val="22"/>
          <w:szCs w:val="22"/>
        </w:rPr>
        <w:t>The adequacy of supervision and house officer satisfaction with supervision will be evaluated during th</w:t>
      </w:r>
      <w:r w:rsidR="00704593" w:rsidRPr="00CD1D31">
        <w:rPr>
          <w:rFonts w:asciiTheme="minorHAnsi" w:hAnsiTheme="minorHAnsi"/>
          <w:color w:val="auto"/>
          <w:sz w:val="22"/>
          <w:szCs w:val="22"/>
        </w:rPr>
        <w:t>e GMEC internal review process, Annual Program Reviews, GME and ACGME surveys.</w:t>
      </w:r>
    </w:p>
    <w:p w14:paraId="1A656730" w14:textId="77777777" w:rsidR="00BB017E" w:rsidRPr="00CD1D31" w:rsidRDefault="00BB017E" w:rsidP="008719F9">
      <w:pPr>
        <w:pStyle w:val="Default"/>
        <w:numPr>
          <w:ilvl w:val="0"/>
          <w:numId w:val="38"/>
        </w:numPr>
        <w:rPr>
          <w:rFonts w:asciiTheme="minorHAnsi" w:hAnsiTheme="minorHAnsi"/>
          <w:color w:val="auto"/>
          <w:sz w:val="22"/>
          <w:szCs w:val="22"/>
        </w:rPr>
      </w:pPr>
      <w:r w:rsidRPr="00CD1D31">
        <w:rPr>
          <w:rFonts w:asciiTheme="minorHAnsi" w:hAnsiTheme="minorHAnsi"/>
          <w:color w:val="auto"/>
          <w:sz w:val="22"/>
          <w:szCs w:val="22"/>
        </w:rPr>
        <w:t xml:space="preserve">The annual GME report provided to all participating institutions shall specifically address the adequacy of supervision policies, as required by ACGME standards. </w:t>
      </w:r>
    </w:p>
    <w:p w14:paraId="3F3461D2" w14:textId="12A731B4" w:rsidR="00BB017E" w:rsidRDefault="00BB017E" w:rsidP="008719F9">
      <w:pPr>
        <w:pStyle w:val="Default"/>
        <w:numPr>
          <w:ilvl w:val="0"/>
          <w:numId w:val="38"/>
        </w:numPr>
        <w:rPr>
          <w:rFonts w:asciiTheme="minorHAnsi" w:hAnsiTheme="minorHAnsi"/>
          <w:color w:val="auto"/>
          <w:sz w:val="22"/>
          <w:szCs w:val="22"/>
        </w:rPr>
      </w:pPr>
      <w:r w:rsidRPr="00CD1D31">
        <w:rPr>
          <w:rFonts w:asciiTheme="minorHAnsi" w:hAnsiTheme="minorHAnsi"/>
          <w:color w:val="auto"/>
          <w:sz w:val="22"/>
          <w:szCs w:val="22"/>
        </w:rPr>
        <w:t xml:space="preserve">The GME Committee shall review all accrediting and certifying bodies’ concerns regarding supervision of </w:t>
      </w:r>
      <w:r w:rsidR="008719F9" w:rsidRPr="00CD1D31">
        <w:rPr>
          <w:rFonts w:asciiTheme="minorHAnsi" w:hAnsiTheme="minorHAnsi"/>
          <w:color w:val="auto"/>
          <w:sz w:val="22"/>
          <w:szCs w:val="22"/>
        </w:rPr>
        <w:t>residents</w:t>
      </w:r>
      <w:r w:rsidRPr="00CD1D31">
        <w:rPr>
          <w:rFonts w:asciiTheme="minorHAnsi" w:hAnsiTheme="minorHAnsi"/>
          <w:color w:val="auto"/>
          <w:sz w:val="22"/>
          <w:szCs w:val="22"/>
        </w:rPr>
        <w:t xml:space="preserve"> and ensure that appropriate follow-up with corrective actions occurs as needed.</w:t>
      </w:r>
    </w:p>
    <w:p w14:paraId="332A7705" w14:textId="7B2197CB" w:rsidR="00FC3923" w:rsidRDefault="00FC3923" w:rsidP="00FC3923">
      <w:pPr>
        <w:pStyle w:val="Default"/>
        <w:rPr>
          <w:rFonts w:asciiTheme="minorHAnsi" w:hAnsiTheme="minorHAnsi"/>
          <w:color w:val="auto"/>
          <w:sz w:val="22"/>
          <w:szCs w:val="22"/>
        </w:rPr>
      </w:pPr>
    </w:p>
    <w:p w14:paraId="18398631" w14:textId="77777777" w:rsidR="00FC3923" w:rsidRPr="00FC3923" w:rsidRDefault="00FC3923" w:rsidP="00FC3923">
      <w:pPr>
        <w:pStyle w:val="Default"/>
        <w:ind w:firstLine="720"/>
        <w:rPr>
          <w:rFonts w:asciiTheme="minorHAnsi" w:hAnsiTheme="minorHAnsi"/>
          <w:b/>
          <w:bCs/>
          <w:color w:val="auto"/>
          <w:sz w:val="22"/>
          <w:szCs w:val="22"/>
          <w:u w:val="single"/>
        </w:rPr>
      </w:pPr>
      <w:r w:rsidRPr="00FC3923">
        <w:rPr>
          <w:rFonts w:asciiTheme="minorHAnsi" w:hAnsiTheme="minorHAnsi"/>
          <w:b/>
          <w:bCs/>
          <w:color w:val="auto"/>
          <w:sz w:val="22"/>
          <w:szCs w:val="22"/>
          <w:u w:val="single"/>
        </w:rPr>
        <w:t>ACGME Levels of Supervision Definitions</w:t>
      </w:r>
    </w:p>
    <w:p w14:paraId="71DDC87C" w14:textId="77777777" w:rsidR="00FC3923" w:rsidRPr="00327840" w:rsidRDefault="00FC3923" w:rsidP="00FC3923">
      <w:pPr>
        <w:pStyle w:val="Default"/>
        <w:ind w:left="360" w:firstLine="720"/>
        <w:rPr>
          <w:rFonts w:asciiTheme="minorHAnsi" w:hAnsiTheme="minorHAnsi"/>
          <w:color w:val="auto"/>
          <w:sz w:val="22"/>
          <w:szCs w:val="22"/>
        </w:rPr>
      </w:pPr>
      <w:r w:rsidRPr="00327840">
        <w:rPr>
          <w:rFonts w:asciiTheme="minorHAnsi" w:hAnsiTheme="minorHAnsi"/>
          <w:color w:val="auto"/>
          <w:sz w:val="22"/>
          <w:szCs w:val="22"/>
        </w:rPr>
        <w:t>1. Direct Supervision</w:t>
      </w:r>
    </w:p>
    <w:p w14:paraId="64613036" w14:textId="2B0F016B" w:rsidR="00FC3923" w:rsidRPr="00327840" w:rsidRDefault="00FC3923" w:rsidP="00FC3923">
      <w:pPr>
        <w:pStyle w:val="Default"/>
        <w:numPr>
          <w:ilvl w:val="0"/>
          <w:numId w:val="40"/>
        </w:numPr>
        <w:rPr>
          <w:rFonts w:asciiTheme="minorHAnsi" w:hAnsiTheme="minorHAnsi"/>
          <w:color w:val="auto"/>
          <w:sz w:val="22"/>
          <w:szCs w:val="22"/>
        </w:rPr>
      </w:pPr>
      <w:r w:rsidRPr="00327840">
        <w:rPr>
          <w:rFonts w:asciiTheme="minorHAnsi" w:hAnsiTheme="minorHAnsi"/>
          <w:color w:val="auto"/>
          <w:sz w:val="22"/>
          <w:szCs w:val="22"/>
        </w:rPr>
        <w:t>The supervising physician is physically present with the fellow/resident during</w:t>
      </w:r>
    </w:p>
    <w:p w14:paraId="7F83687F" w14:textId="77777777" w:rsidR="00FC3923" w:rsidRPr="00327840" w:rsidRDefault="00FC3923" w:rsidP="00FC3923">
      <w:pPr>
        <w:pStyle w:val="Default"/>
        <w:ind w:left="1800"/>
        <w:rPr>
          <w:rFonts w:asciiTheme="minorHAnsi" w:hAnsiTheme="minorHAnsi"/>
          <w:color w:val="auto"/>
          <w:sz w:val="22"/>
          <w:szCs w:val="22"/>
        </w:rPr>
      </w:pPr>
      <w:r w:rsidRPr="00327840">
        <w:rPr>
          <w:rFonts w:asciiTheme="minorHAnsi" w:hAnsiTheme="minorHAnsi"/>
          <w:color w:val="auto"/>
          <w:sz w:val="22"/>
          <w:szCs w:val="22"/>
        </w:rPr>
        <w:t>the key portions of patient interaction; or</w:t>
      </w:r>
    </w:p>
    <w:p w14:paraId="6F4CCB04" w14:textId="7FFF423C" w:rsidR="00FC3923" w:rsidRPr="00327840" w:rsidRDefault="00FC3923" w:rsidP="00FC3923">
      <w:pPr>
        <w:pStyle w:val="Default"/>
        <w:numPr>
          <w:ilvl w:val="0"/>
          <w:numId w:val="40"/>
        </w:numPr>
        <w:rPr>
          <w:rFonts w:asciiTheme="minorHAnsi" w:hAnsiTheme="minorHAnsi"/>
          <w:color w:val="auto"/>
          <w:sz w:val="22"/>
          <w:szCs w:val="22"/>
        </w:rPr>
      </w:pPr>
      <w:r w:rsidRPr="00327840">
        <w:rPr>
          <w:rFonts w:asciiTheme="minorHAnsi" w:hAnsiTheme="minorHAnsi"/>
          <w:color w:val="auto"/>
          <w:sz w:val="22"/>
          <w:szCs w:val="22"/>
        </w:rPr>
        <w:t>The supervising physician and/or patient is not physically present with the</w:t>
      </w:r>
    </w:p>
    <w:p w14:paraId="70155475" w14:textId="77777777" w:rsidR="00FC3923" w:rsidRPr="00327840" w:rsidRDefault="00FC3923" w:rsidP="00FC3923">
      <w:pPr>
        <w:pStyle w:val="Default"/>
        <w:ind w:left="1800"/>
        <w:rPr>
          <w:rFonts w:asciiTheme="minorHAnsi" w:hAnsiTheme="minorHAnsi"/>
          <w:color w:val="auto"/>
          <w:sz w:val="22"/>
          <w:szCs w:val="22"/>
        </w:rPr>
      </w:pPr>
      <w:r w:rsidRPr="00327840">
        <w:rPr>
          <w:rFonts w:asciiTheme="minorHAnsi" w:hAnsiTheme="minorHAnsi"/>
          <w:color w:val="auto"/>
          <w:sz w:val="22"/>
          <w:szCs w:val="22"/>
        </w:rPr>
        <w:t>fellow/resident and the supervising physician is concurrently monitoring the</w:t>
      </w:r>
    </w:p>
    <w:p w14:paraId="7D55FE04" w14:textId="6F39220F" w:rsidR="00FC3923" w:rsidRPr="00327840" w:rsidRDefault="00FC3923" w:rsidP="00FC3923">
      <w:pPr>
        <w:pStyle w:val="Default"/>
        <w:ind w:left="1800"/>
        <w:rPr>
          <w:rFonts w:asciiTheme="minorHAnsi" w:hAnsiTheme="minorHAnsi"/>
          <w:color w:val="auto"/>
          <w:sz w:val="22"/>
          <w:szCs w:val="22"/>
        </w:rPr>
      </w:pPr>
      <w:r w:rsidRPr="00327840">
        <w:rPr>
          <w:rFonts w:asciiTheme="minorHAnsi" w:hAnsiTheme="minorHAnsi"/>
          <w:color w:val="auto"/>
          <w:sz w:val="22"/>
          <w:szCs w:val="22"/>
        </w:rPr>
        <w:t>patient care through appropriate telecommunication technology. [The Review Committee may further specify]</w:t>
      </w:r>
    </w:p>
    <w:p w14:paraId="66FEE6D9" w14:textId="77777777" w:rsidR="00FC3923" w:rsidRPr="00327840" w:rsidRDefault="00FC3923" w:rsidP="00FC3923">
      <w:pPr>
        <w:pStyle w:val="Default"/>
        <w:ind w:left="1080"/>
        <w:rPr>
          <w:rFonts w:asciiTheme="minorHAnsi" w:hAnsiTheme="minorHAnsi"/>
          <w:color w:val="auto"/>
          <w:sz w:val="22"/>
          <w:szCs w:val="22"/>
        </w:rPr>
      </w:pPr>
      <w:r w:rsidRPr="00327840">
        <w:rPr>
          <w:rFonts w:asciiTheme="minorHAnsi" w:hAnsiTheme="minorHAnsi"/>
          <w:color w:val="auto"/>
          <w:sz w:val="22"/>
          <w:szCs w:val="22"/>
        </w:rPr>
        <w:t>2. Indirect Supervision</w:t>
      </w:r>
    </w:p>
    <w:p w14:paraId="5BEAF55D" w14:textId="45545E53" w:rsidR="00FC3923" w:rsidRPr="00327840" w:rsidRDefault="00FC3923" w:rsidP="00FC3923">
      <w:pPr>
        <w:pStyle w:val="Default"/>
        <w:numPr>
          <w:ilvl w:val="7"/>
          <w:numId w:val="41"/>
        </w:numPr>
        <w:ind w:left="1800"/>
        <w:rPr>
          <w:rFonts w:asciiTheme="minorHAnsi" w:hAnsiTheme="minorHAnsi"/>
          <w:color w:val="auto"/>
          <w:sz w:val="22"/>
          <w:szCs w:val="22"/>
        </w:rPr>
      </w:pPr>
      <w:r w:rsidRPr="00327840">
        <w:rPr>
          <w:rFonts w:asciiTheme="minorHAnsi" w:hAnsiTheme="minorHAnsi"/>
          <w:color w:val="auto"/>
          <w:sz w:val="22"/>
          <w:szCs w:val="22"/>
        </w:rPr>
        <w:t>The supervising physician is not providing physical or concurrent visual or audio</w:t>
      </w:r>
    </w:p>
    <w:p w14:paraId="5FD3C527" w14:textId="77777777" w:rsidR="00FC3923" w:rsidRPr="00327840" w:rsidRDefault="00FC3923" w:rsidP="00FC3923">
      <w:pPr>
        <w:pStyle w:val="Default"/>
        <w:ind w:left="1800"/>
        <w:rPr>
          <w:rFonts w:asciiTheme="minorHAnsi" w:hAnsiTheme="minorHAnsi"/>
          <w:color w:val="auto"/>
          <w:sz w:val="22"/>
          <w:szCs w:val="22"/>
        </w:rPr>
      </w:pPr>
      <w:r w:rsidRPr="00327840">
        <w:rPr>
          <w:rFonts w:asciiTheme="minorHAnsi" w:hAnsiTheme="minorHAnsi"/>
          <w:color w:val="auto"/>
          <w:sz w:val="22"/>
          <w:szCs w:val="22"/>
        </w:rPr>
        <w:t>supervision but is immediately available to the fellow/resident for guidance and</w:t>
      </w:r>
    </w:p>
    <w:p w14:paraId="5A3F573D" w14:textId="77777777" w:rsidR="00FC3923" w:rsidRPr="00327840" w:rsidRDefault="00FC3923" w:rsidP="00FC3923">
      <w:pPr>
        <w:pStyle w:val="Default"/>
        <w:ind w:left="1800"/>
        <w:rPr>
          <w:rFonts w:asciiTheme="minorHAnsi" w:hAnsiTheme="minorHAnsi"/>
          <w:color w:val="auto"/>
          <w:sz w:val="22"/>
          <w:szCs w:val="22"/>
        </w:rPr>
      </w:pPr>
      <w:r w:rsidRPr="00327840">
        <w:rPr>
          <w:rFonts w:asciiTheme="minorHAnsi" w:hAnsiTheme="minorHAnsi"/>
          <w:color w:val="auto"/>
          <w:sz w:val="22"/>
          <w:szCs w:val="22"/>
        </w:rPr>
        <w:t>is available to provide appropriate direct supervision.</w:t>
      </w:r>
    </w:p>
    <w:p w14:paraId="4B02927B" w14:textId="77777777" w:rsidR="00FC3923" w:rsidRPr="00327840" w:rsidRDefault="00FC3923" w:rsidP="00FC3923">
      <w:pPr>
        <w:pStyle w:val="Default"/>
        <w:ind w:left="1080"/>
        <w:rPr>
          <w:rFonts w:asciiTheme="minorHAnsi" w:hAnsiTheme="minorHAnsi"/>
          <w:color w:val="auto"/>
          <w:sz w:val="22"/>
          <w:szCs w:val="22"/>
        </w:rPr>
      </w:pPr>
      <w:r w:rsidRPr="00327840">
        <w:rPr>
          <w:rFonts w:asciiTheme="minorHAnsi" w:hAnsiTheme="minorHAnsi"/>
          <w:color w:val="auto"/>
          <w:sz w:val="22"/>
          <w:szCs w:val="22"/>
        </w:rPr>
        <w:t>3. Oversight</w:t>
      </w:r>
    </w:p>
    <w:p w14:paraId="3CBA51EC" w14:textId="13E733B6" w:rsidR="00FC3923" w:rsidRPr="00327840" w:rsidRDefault="00FC3923" w:rsidP="00FC3923">
      <w:pPr>
        <w:pStyle w:val="Default"/>
        <w:numPr>
          <w:ilvl w:val="7"/>
          <w:numId w:val="42"/>
        </w:numPr>
        <w:ind w:left="1800"/>
        <w:rPr>
          <w:rFonts w:asciiTheme="minorHAnsi" w:hAnsiTheme="minorHAnsi"/>
          <w:color w:val="auto"/>
          <w:sz w:val="22"/>
          <w:szCs w:val="22"/>
        </w:rPr>
      </w:pPr>
      <w:r w:rsidRPr="00327840">
        <w:rPr>
          <w:rFonts w:asciiTheme="minorHAnsi" w:hAnsiTheme="minorHAnsi"/>
          <w:color w:val="auto"/>
          <w:sz w:val="22"/>
          <w:szCs w:val="22"/>
        </w:rPr>
        <w:t>The supervising physician is available to provide review of procedures/encounters</w:t>
      </w:r>
    </w:p>
    <w:p w14:paraId="52C953AF" w14:textId="42F8E77D" w:rsidR="00FC3923" w:rsidRPr="00CD1D31" w:rsidRDefault="00FC3923" w:rsidP="00FC3923">
      <w:pPr>
        <w:pStyle w:val="Default"/>
        <w:ind w:left="1800"/>
        <w:rPr>
          <w:rFonts w:asciiTheme="minorHAnsi" w:hAnsiTheme="minorHAnsi"/>
          <w:color w:val="auto"/>
          <w:sz w:val="22"/>
          <w:szCs w:val="22"/>
        </w:rPr>
      </w:pPr>
      <w:r w:rsidRPr="00327840">
        <w:rPr>
          <w:rFonts w:asciiTheme="minorHAnsi" w:hAnsiTheme="minorHAnsi"/>
          <w:color w:val="auto"/>
          <w:sz w:val="22"/>
          <w:szCs w:val="22"/>
        </w:rPr>
        <w:t>with feedback provided after care is delivered.</w:t>
      </w:r>
    </w:p>
    <w:p w14:paraId="579996C5" w14:textId="77777777" w:rsidR="008C44C1" w:rsidRPr="00CD1D31" w:rsidRDefault="008C44C1" w:rsidP="008C44C1">
      <w:pPr>
        <w:autoSpaceDE w:val="0"/>
        <w:autoSpaceDN w:val="0"/>
        <w:adjustRightInd w:val="0"/>
        <w:spacing w:after="0" w:line="240" w:lineRule="auto"/>
        <w:rPr>
          <w:rFonts w:cs="Calibri"/>
          <w:b/>
          <w:u w:val="single"/>
        </w:rPr>
      </w:pPr>
    </w:p>
    <w:p w14:paraId="3A39E978" w14:textId="77777777" w:rsidR="00CC5A2D" w:rsidRPr="00CD1D31" w:rsidRDefault="00CC5A2D" w:rsidP="005C41FE">
      <w:pPr>
        <w:autoSpaceDE w:val="0"/>
        <w:autoSpaceDN w:val="0"/>
        <w:adjustRightInd w:val="0"/>
        <w:spacing w:after="0" w:line="240" w:lineRule="auto"/>
        <w:rPr>
          <w:rFonts w:cs="Calibri"/>
          <w:b/>
        </w:rPr>
      </w:pPr>
      <w:r w:rsidRPr="00CD1D31">
        <w:rPr>
          <w:rFonts w:cs="Calibri"/>
          <w:b/>
          <w:u w:val="single"/>
        </w:rPr>
        <w:t>DOCUMENT INFORMATION</w:t>
      </w:r>
    </w:p>
    <w:p w14:paraId="5ABE7BA1" w14:textId="77777777" w:rsidR="00CC5A2D" w:rsidRPr="00CD1D31" w:rsidRDefault="00CC5A2D" w:rsidP="004E5EC9">
      <w:pPr>
        <w:autoSpaceDE w:val="0"/>
        <w:autoSpaceDN w:val="0"/>
        <w:adjustRightInd w:val="0"/>
        <w:spacing w:after="0" w:line="240" w:lineRule="auto"/>
        <w:rPr>
          <w:rFonts w:cs="Calibri"/>
        </w:rPr>
      </w:pPr>
    </w:p>
    <w:p w14:paraId="5899C3ED" w14:textId="77777777" w:rsidR="004E5EC9" w:rsidRPr="00CD1D31" w:rsidRDefault="004E5EC9" w:rsidP="004E5EC9">
      <w:pPr>
        <w:autoSpaceDE w:val="0"/>
        <w:autoSpaceDN w:val="0"/>
        <w:adjustRightInd w:val="0"/>
        <w:spacing w:after="0" w:line="240" w:lineRule="auto"/>
        <w:ind w:left="720"/>
        <w:rPr>
          <w:rFonts w:cs="Calibri"/>
        </w:rPr>
      </w:pPr>
      <w:r w:rsidRPr="00CD1D31">
        <w:rPr>
          <w:rFonts w:cs="Calibri"/>
        </w:rPr>
        <w:t xml:space="preserve">This policy is reviewed by the Graduate Medical Education Committee every </w:t>
      </w:r>
      <w:r w:rsidR="008719F9" w:rsidRPr="00CD1D31">
        <w:rPr>
          <w:rFonts w:cs="Calibri"/>
        </w:rPr>
        <w:t xml:space="preserve">five </w:t>
      </w:r>
      <w:r w:rsidR="0093629F" w:rsidRPr="00CD1D31">
        <w:rPr>
          <w:rFonts w:cs="Calibri"/>
        </w:rPr>
        <w:t>year</w:t>
      </w:r>
      <w:r w:rsidR="008719F9" w:rsidRPr="00CD1D31">
        <w:rPr>
          <w:rFonts w:cs="Calibri"/>
        </w:rPr>
        <w:t>s</w:t>
      </w:r>
      <w:r w:rsidRPr="00CD1D31">
        <w:rPr>
          <w:rFonts w:cs="Calibri"/>
        </w:rPr>
        <w:t xml:space="preserve">. </w:t>
      </w:r>
    </w:p>
    <w:p w14:paraId="1DFE3F47" w14:textId="77777777" w:rsidR="004E5EC9" w:rsidRPr="00CD1D31" w:rsidRDefault="004E5EC9" w:rsidP="004E5EC9">
      <w:pPr>
        <w:autoSpaceDE w:val="0"/>
        <w:autoSpaceDN w:val="0"/>
        <w:adjustRightInd w:val="0"/>
        <w:spacing w:after="0" w:line="240" w:lineRule="auto"/>
        <w:ind w:left="720"/>
        <w:rPr>
          <w:rFonts w:cs="Calibri"/>
        </w:rPr>
      </w:pPr>
      <w:r w:rsidRPr="00CD1D31">
        <w:rPr>
          <w:rFonts w:cs="Calibri"/>
        </w:rPr>
        <w:t xml:space="preserve">Approved By:  </w:t>
      </w:r>
      <w:r w:rsidRPr="00CD1D31">
        <w:rPr>
          <w:rFonts w:cs="Calibri"/>
        </w:rPr>
        <w:tab/>
        <w:t>Graduate Medical Education Committee</w:t>
      </w:r>
    </w:p>
    <w:p w14:paraId="3DCE5B03" w14:textId="77777777" w:rsidR="00F320A8" w:rsidRDefault="00F320A8" w:rsidP="00F320A8">
      <w:pPr>
        <w:autoSpaceDE w:val="0"/>
        <w:autoSpaceDN w:val="0"/>
        <w:adjustRightInd w:val="0"/>
        <w:spacing w:after="0" w:line="240" w:lineRule="auto"/>
        <w:ind w:left="720"/>
        <w:rPr>
          <w:rFonts w:cs="Calibri"/>
        </w:rPr>
      </w:pPr>
      <w:r>
        <w:rPr>
          <w:rFonts w:cs="Calibri"/>
        </w:rPr>
        <w:tab/>
      </w:r>
      <w:r>
        <w:rPr>
          <w:rFonts w:cs="Calibri"/>
        </w:rPr>
        <w:tab/>
        <w:t>REV. 1/8/2008</w:t>
      </w:r>
    </w:p>
    <w:p w14:paraId="30866239" w14:textId="7B8BAF10" w:rsidR="004D6386" w:rsidRDefault="00CD1D31" w:rsidP="00EE5A50">
      <w:pPr>
        <w:autoSpaceDE w:val="0"/>
        <w:autoSpaceDN w:val="0"/>
        <w:adjustRightInd w:val="0"/>
        <w:spacing w:after="0" w:line="240" w:lineRule="auto"/>
        <w:ind w:left="720"/>
        <w:rPr>
          <w:rFonts w:ascii="Calibri" w:hAnsi="Calibri" w:cs="Calibri"/>
        </w:rPr>
      </w:pPr>
      <w:r>
        <w:rPr>
          <w:rFonts w:cs="Calibri"/>
        </w:rPr>
        <w:tab/>
      </w:r>
      <w:r>
        <w:rPr>
          <w:rFonts w:cs="Calibri"/>
        </w:rPr>
        <w:tab/>
      </w:r>
      <w:r>
        <w:rPr>
          <w:rFonts w:ascii="Calibri" w:hAnsi="Calibri" w:cs="Calibri"/>
        </w:rPr>
        <w:t>REV. 5/10/2012</w:t>
      </w:r>
    </w:p>
    <w:p w14:paraId="38C7E1B6" w14:textId="7B689499" w:rsidR="008755F0" w:rsidRDefault="008755F0" w:rsidP="00EE5A50">
      <w:pPr>
        <w:autoSpaceDE w:val="0"/>
        <w:autoSpaceDN w:val="0"/>
        <w:adjustRightInd w:val="0"/>
        <w:spacing w:after="0" w:line="240" w:lineRule="auto"/>
        <w:ind w:left="720"/>
        <w:rPr>
          <w:rFonts w:ascii="Calibri" w:hAnsi="Calibri" w:cs="Calibri"/>
        </w:rPr>
      </w:pPr>
      <w:r>
        <w:rPr>
          <w:rFonts w:ascii="Calibri" w:hAnsi="Calibri" w:cs="Calibri"/>
        </w:rPr>
        <w:tab/>
      </w:r>
      <w:r>
        <w:rPr>
          <w:rFonts w:ascii="Calibri" w:hAnsi="Calibri" w:cs="Calibri"/>
        </w:rPr>
        <w:tab/>
        <w:t>REV. 8/12/2021</w:t>
      </w:r>
    </w:p>
    <w:p w14:paraId="76199EAD" w14:textId="56C06566" w:rsidR="00327840" w:rsidRDefault="00327840" w:rsidP="00EE5A50">
      <w:pPr>
        <w:autoSpaceDE w:val="0"/>
        <w:autoSpaceDN w:val="0"/>
        <w:adjustRightInd w:val="0"/>
        <w:spacing w:after="0" w:line="240" w:lineRule="auto"/>
        <w:ind w:left="720"/>
        <w:rPr>
          <w:rFonts w:ascii="Calibri" w:hAnsi="Calibri" w:cs="Calibri"/>
        </w:rPr>
      </w:pPr>
      <w:r>
        <w:rPr>
          <w:rFonts w:ascii="Calibri" w:hAnsi="Calibri" w:cs="Calibri"/>
        </w:rPr>
        <w:tab/>
      </w:r>
      <w:r>
        <w:rPr>
          <w:rFonts w:ascii="Calibri" w:hAnsi="Calibri" w:cs="Calibri"/>
        </w:rPr>
        <w:tab/>
        <w:t>REV. 4/14/2022</w:t>
      </w:r>
    </w:p>
    <w:p w14:paraId="4E5705F0" w14:textId="77777777" w:rsidR="008755F0" w:rsidRPr="00CD1D31" w:rsidRDefault="008755F0" w:rsidP="00EE5A50">
      <w:pPr>
        <w:autoSpaceDE w:val="0"/>
        <w:autoSpaceDN w:val="0"/>
        <w:adjustRightInd w:val="0"/>
        <w:spacing w:after="0" w:line="240" w:lineRule="auto"/>
        <w:ind w:left="720"/>
        <w:rPr>
          <w:rFonts w:cs="Calibri"/>
        </w:rPr>
      </w:pPr>
    </w:p>
    <w:p w14:paraId="2E730045" w14:textId="77777777" w:rsidR="00A23F1E" w:rsidRPr="00CD1D31" w:rsidRDefault="00A23F1E" w:rsidP="008C2546">
      <w:pPr>
        <w:rPr>
          <w:rFonts w:cs="Calibri"/>
        </w:rPr>
      </w:pPr>
    </w:p>
    <w:sectPr w:rsidR="00A23F1E" w:rsidRPr="00CD1D31" w:rsidSect="00062FE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86F76" w14:textId="77777777" w:rsidR="007901D5" w:rsidRDefault="007901D5" w:rsidP="007F5A47">
      <w:pPr>
        <w:spacing w:after="0" w:line="240" w:lineRule="auto"/>
      </w:pPr>
      <w:r>
        <w:separator/>
      </w:r>
    </w:p>
  </w:endnote>
  <w:endnote w:type="continuationSeparator" w:id="0">
    <w:p w14:paraId="1654CC20" w14:textId="77777777" w:rsidR="007901D5" w:rsidRDefault="007901D5" w:rsidP="007F5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BC1C" w14:textId="77777777" w:rsidR="003A5D2A" w:rsidRDefault="003A5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04D7" w14:textId="77777777" w:rsidR="003A5D2A" w:rsidRDefault="003A5D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DD6B" w14:textId="77777777" w:rsidR="003A5D2A" w:rsidRDefault="003A5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E2F8F" w14:textId="77777777" w:rsidR="007901D5" w:rsidRDefault="007901D5" w:rsidP="007F5A47">
      <w:pPr>
        <w:spacing w:after="0" w:line="240" w:lineRule="auto"/>
      </w:pPr>
      <w:r>
        <w:separator/>
      </w:r>
    </w:p>
  </w:footnote>
  <w:footnote w:type="continuationSeparator" w:id="0">
    <w:p w14:paraId="3E88C900" w14:textId="77777777" w:rsidR="007901D5" w:rsidRDefault="007901D5" w:rsidP="007F5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8465" w14:textId="77777777" w:rsidR="003A5D2A" w:rsidRDefault="003A5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683"/>
      <w:gridCol w:w="4667"/>
    </w:tblGrid>
    <w:tr w:rsidR="007901D5" w:rsidRPr="00CD1D31" w14:paraId="7EF52156" w14:textId="77777777" w:rsidTr="007F5A47">
      <w:tc>
        <w:tcPr>
          <w:tcW w:w="4788" w:type="dxa"/>
        </w:tcPr>
        <w:p w14:paraId="612B2978" w14:textId="77777777" w:rsidR="007901D5" w:rsidRPr="00CD1D31" w:rsidRDefault="007901D5">
          <w:pPr>
            <w:pStyle w:val="Header"/>
            <w:rPr>
              <w:b/>
            </w:rPr>
          </w:pPr>
          <w:r w:rsidRPr="00CD1D31">
            <w:rPr>
              <w:b/>
            </w:rPr>
            <w:t>This policy applies to:</w:t>
          </w:r>
        </w:p>
        <w:p w14:paraId="4FE2D196" w14:textId="77777777" w:rsidR="007901D5" w:rsidRPr="00CD1D31" w:rsidRDefault="007901D5" w:rsidP="00164BAB">
          <w:pPr>
            <w:pStyle w:val="Header"/>
            <w:rPr>
              <w:b/>
            </w:rPr>
          </w:pPr>
          <w:r w:rsidRPr="00CD1D31">
            <w:rPr>
              <w:b/>
            </w:rPr>
            <w:t>All ACGME accredited programs sponsored by SHC as well as all participating institutions used by SHC programs.</w:t>
          </w:r>
        </w:p>
        <w:p w14:paraId="4B8F3E09" w14:textId="77777777" w:rsidR="007901D5" w:rsidRPr="00CD1D31" w:rsidRDefault="007901D5">
          <w:pPr>
            <w:pStyle w:val="Header"/>
            <w:rPr>
              <w:b/>
              <w:i/>
            </w:rPr>
          </w:pPr>
        </w:p>
      </w:tc>
      <w:tc>
        <w:tcPr>
          <w:tcW w:w="4788" w:type="dxa"/>
        </w:tcPr>
        <w:p w14:paraId="514BB13E" w14:textId="77777777" w:rsidR="007901D5" w:rsidRPr="00CD1D31" w:rsidRDefault="007901D5">
          <w:pPr>
            <w:pStyle w:val="Header"/>
            <w:rPr>
              <w:b/>
            </w:rPr>
          </w:pPr>
          <w:r w:rsidRPr="00CD1D31">
            <w:rPr>
              <w:b/>
            </w:rPr>
            <w:t>Last Approval Date:</w:t>
          </w:r>
        </w:p>
        <w:p w14:paraId="5FDB666C" w14:textId="723B5117" w:rsidR="007901D5" w:rsidRPr="00CD1D31" w:rsidRDefault="00327840">
          <w:pPr>
            <w:pStyle w:val="Header"/>
            <w:rPr>
              <w:b/>
            </w:rPr>
          </w:pPr>
          <w:r>
            <w:rPr>
              <w:b/>
            </w:rPr>
            <w:t>April 14, 2022</w:t>
          </w:r>
        </w:p>
      </w:tc>
    </w:tr>
    <w:tr w:rsidR="007901D5" w:rsidRPr="00CD1D31" w14:paraId="3A1F4581" w14:textId="77777777" w:rsidTr="007F5A47">
      <w:tc>
        <w:tcPr>
          <w:tcW w:w="4788" w:type="dxa"/>
        </w:tcPr>
        <w:p w14:paraId="1D0CD3DC" w14:textId="77777777" w:rsidR="007901D5" w:rsidRPr="00CD1D31" w:rsidRDefault="007901D5">
          <w:pPr>
            <w:pStyle w:val="Header"/>
            <w:rPr>
              <w:b/>
            </w:rPr>
          </w:pPr>
          <w:r w:rsidRPr="00CD1D31">
            <w:rPr>
              <w:b/>
            </w:rPr>
            <w:t>Name of Policy:</w:t>
          </w:r>
        </w:p>
        <w:p w14:paraId="10285CE4" w14:textId="77777777" w:rsidR="007901D5" w:rsidRPr="00CD1D31" w:rsidRDefault="007901D5" w:rsidP="00DC3534">
          <w:pPr>
            <w:pStyle w:val="Header"/>
            <w:rPr>
              <w:b/>
            </w:rPr>
          </w:pPr>
          <w:r w:rsidRPr="00CD1D31">
            <w:rPr>
              <w:b/>
            </w:rPr>
            <w:t>Resident Supervision Policy</w:t>
          </w:r>
        </w:p>
      </w:tc>
      <w:tc>
        <w:tcPr>
          <w:tcW w:w="4788" w:type="dxa"/>
          <w:vMerge w:val="restart"/>
        </w:tcPr>
        <w:p w14:paraId="7780529E" w14:textId="77777777" w:rsidR="007901D5" w:rsidRPr="00CD1D31" w:rsidRDefault="007901D5" w:rsidP="007F5A47">
          <w:pPr>
            <w:pStyle w:val="Header"/>
            <w:jc w:val="center"/>
            <w:rPr>
              <w:b/>
            </w:rPr>
          </w:pPr>
        </w:p>
        <w:sdt>
          <w:sdtPr>
            <w:rPr>
              <w:b/>
            </w:rPr>
            <w:id w:val="464354439"/>
            <w:docPartObj>
              <w:docPartGallery w:val="Page Numbers (Top of Page)"/>
              <w:docPartUnique/>
            </w:docPartObj>
          </w:sdtPr>
          <w:sdtEndPr/>
          <w:sdtContent>
            <w:p w14:paraId="10EE75A8" w14:textId="77777777" w:rsidR="007901D5" w:rsidRPr="00CD1D31" w:rsidRDefault="007901D5">
              <w:pPr>
                <w:rPr>
                  <w:b/>
                </w:rPr>
              </w:pPr>
              <w:r w:rsidRPr="00CD1D31">
                <w:rPr>
                  <w:b/>
                </w:rPr>
                <w:t xml:space="preserve">Page </w:t>
              </w:r>
              <w:r w:rsidR="003F2298" w:rsidRPr="00CD1D31">
                <w:rPr>
                  <w:b/>
                </w:rPr>
                <w:fldChar w:fldCharType="begin"/>
              </w:r>
              <w:r w:rsidR="00AA0E63" w:rsidRPr="00CD1D31">
                <w:rPr>
                  <w:b/>
                </w:rPr>
                <w:instrText xml:space="preserve"> PAGE </w:instrText>
              </w:r>
              <w:r w:rsidR="003F2298" w:rsidRPr="00CD1D31">
                <w:rPr>
                  <w:b/>
                </w:rPr>
                <w:fldChar w:fldCharType="separate"/>
              </w:r>
              <w:r w:rsidR="00637829">
                <w:rPr>
                  <w:b/>
                  <w:noProof/>
                </w:rPr>
                <w:t>2</w:t>
              </w:r>
              <w:r w:rsidR="003F2298" w:rsidRPr="00CD1D31">
                <w:rPr>
                  <w:b/>
                </w:rPr>
                <w:fldChar w:fldCharType="end"/>
              </w:r>
              <w:r w:rsidRPr="00CD1D31">
                <w:rPr>
                  <w:b/>
                </w:rPr>
                <w:t xml:space="preserve"> of </w:t>
              </w:r>
              <w:r w:rsidR="003F2298" w:rsidRPr="00CD1D31">
                <w:rPr>
                  <w:b/>
                </w:rPr>
                <w:fldChar w:fldCharType="begin"/>
              </w:r>
              <w:r w:rsidR="00AA0E63" w:rsidRPr="00CD1D31">
                <w:rPr>
                  <w:b/>
                </w:rPr>
                <w:instrText xml:space="preserve"> NUMPAGES  </w:instrText>
              </w:r>
              <w:r w:rsidR="003F2298" w:rsidRPr="00CD1D31">
                <w:rPr>
                  <w:b/>
                </w:rPr>
                <w:fldChar w:fldCharType="separate"/>
              </w:r>
              <w:r w:rsidR="00637829">
                <w:rPr>
                  <w:b/>
                  <w:noProof/>
                </w:rPr>
                <w:t>2</w:t>
              </w:r>
              <w:r w:rsidR="003F2298" w:rsidRPr="00CD1D31">
                <w:rPr>
                  <w:b/>
                </w:rPr>
                <w:fldChar w:fldCharType="end"/>
              </w:r>
            </w:p>
          </w:sdtContent>
        </w:sdt>
        <w:p w14:paraId="2724640E" w14:textId="77777777" w:rsidR="007901D5" w:rsidRPr="00CD1D31" w:rsidRDefault="007901D5" w:rsidP="007F5A47">
          <w:pPr>
            <w:rPr>
              <w:rFonts w:asciiTheme="majorHAnsi" w:hAnsiTheme="majorHAnsi"/>
              <w:b/>
              <w:sz w:val="48"/>
              <w:szCs w:val="44"/>
            </w:rPr>
          </w:pPr>
        </w:p>
      </w:tc>
    </w:tr>
    <w:tr w:rsidR="007901D5" w:rsidRPr="00CD1D31" w14:paraId="37969540" w14:textId="77777777" w:rsidTr="007F5A47">
      <w:tc>
        <w:tcPr>
          <w:tcW w:w="4788" w:type="dxa"/>
        </w:tcPr>
        <w:p w14:paraId="5CBA263A" w14:textId="77777777" w:rsidR="007901D5" w:rsidRPr="00CD1D31" w:rsidRDefault="007901D5">
          <w:pPr>
            <w:pStyle w:val="Header"/>
            <w:rPr>
              <w:b/>
            </w:rPr>
          </w:pPr>
          <w:r w:rsidRPr="00CD1D31">
            <w:rPr>
              <w:b/>
            </w:rPr>
            <w:t>Reference Number to Institutional Requirements:</w:t>
          </w:r>
        </w:p>
        <w:p w14:paraId="6C595A08" w14:textId="2C170409" w:rsidR="007901D5" w:rsidRPr="00CD1D31" w:rsidRDefault="003A5D2A">
          <w:pPr>
            <w:pStyle w:val="Header"/>
            <w:rPr>
              <w:b/>
            </w:rPr>
          </w:pPr>
          <w:r w:rsidRPr="003A5D2A">
            <w:rPr>
              <w:b/>
            </w:rPr>
            <w:t>IV.J.1</w:t>
          </w:r>
        </w:p>
      </w:tc>
      <w:tc>
        <w:tcPr>
          <w:tcW w:w="4788" w:type="dxa"/>
          <w:vMerge/>
        </w:tcPr>
        <w:p w14:paraId="3ADFD261" w14:textId="77777777" w:rsidR="007901D5" w:rsidRPr="00CD1D31" w:rsidRDefault="007901D5">
          <w:pPr>
            <w:pStyle w:val="Header"/>
            <w:rPr>
              <w:b/>
            </w:rPr>
          </w:pPr>
        </w:p>
      </w:tc>
    </w:tr>
  </w:tbl>
  <w:p w14:paraId="26E89311" w14:textId="77777777" w:rsidR="007901D5" w:rsidRPr="00CD1D31" w:rsidRDefault="007901D5">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412B" w14:textId="77777777" w:rsidR="003A5D2A" w:rsidRDefault="003A5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F62ABC"/>
    <w:multiLevelType w:val="hybridMultilevel"/>
    <w:tmpl w:val="14762E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C5A08"/>
    <w:multiLevelType w:val="hybridMultilevel"/>
    <w:tmpl w:val="45E861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F37932"/>
    <w:multiLevelType w:val="hybridMultilevel"/>
    <w:tmpl w:val="0E6EE9C2"/>
    <w:lvl w:ilvl="0" w:tplc="432ECB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A8694E"/>
    <w:multiLevelType w:val="hybridMultilevel"/>
    <w:tmpl w:val="4C945620"/>
    <w:lvl w:ilvl="0" w:tplc="449A5B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3A1C5D"/>
    <w:multiLevelType w:val="hybridMultilevel"/>
    <w:tmpl w:val="1CBA878E"/>
    <w:lvl w:ilvl="0" w:tplc="6BB2F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47474C"/>
    <w:multiLevelType w:val="hybridMultilevel"/>
    <w:tmpl w:val="FD86BF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627C23"/>
    <w:multiLevelType w:val="hybridMultilevel"/>
    <w:tmpl w:val="37FC29F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10804B2"/>
    <w:multiLevelType w:val="hybridMultilevel"/>
    <w:tmpl w:val="B1964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86BFCB"/>
    <w:multiLevelType w:val="hybridMultilevel"/>
    <w:tmpl w:val="DB8552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27C642D"/>
    <w:multiLevelType w:val="hybridMultilevel"/>
    <w:tmpl w:val="58D08582"/>
    <w:lvl w:ilvl="0" w:tplc="5046ED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9171EB"/>
    <w:multiLevelType w:val="hybridMultilevel"/>
    <w:tmpl w:val="08563AD6"/>
    <w:lvl w:ilvl="0" w:tplc="A386DE18">
      <w:start w:val="1"/>
      <w:numFmt w:val="decimal"/>
      <w:lvlText w:val="(%1)"/>
      <w:lvlJc w:val="left"/>
      <w:pPr>
        <w:ind w:left="1800" w:hanging="360"/>
      </w:pPr>
      <w:rPr>
        <w:rFonts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3391B9E"/>
    <w:multiLevelType w:val="hybridMultilevel"/>
    <w:tmpl w:val="21B4807C"/>
    <w:lvl w:ilvl="0" w:tplc="83E2EA6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4B49CF"/>
    <w:multiLevelType w:val="hybridMultilevel"/>
    <w:tmpl w:val="AA006FDC"/>
    <w:lvl w:ilvl="0" w:tplc="0DAC02E8">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E25D07"/>
    <w:multiLevelType w:val="hybridMultilevel"/>
    <w:tmpl w:val="4330E2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6E66E5"/>
    <w:multiLevelType w:val="hybridMultilevel"/>
    <w:tmpl w:val="7AB28254"/>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FA01B3"/>
    <w:multiLevelType w:val="hybridMultilevel"/>
    <w:tmpl w:val="F0B05260"/>
    <w:lvl w:ilvl="0" w:tplc="B6AECE7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706530"/>
    <w:multiLevelType w:val="hybridMultilevel"/>
    <w:tmpl w:val="760410F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10F4803"/>
    <w:multiLevelType w:val="hybridMultilevel"/>
    <w:tmpl w:val="8E8042F4"/>
    <w:lvl w:ilvl="0" w:tplc="AD5E8B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30743B2"/>
    <w:multiLevelType w:val="hybridMultilevel"/>
    <w:tmpl w:val="182800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E1673"/>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0" w15:restartNumberingAfterBreak="0">
    <w:nsid w:val="41F10A9F"/>
    <w:multiLevelType w:val="hybridMultilevel"/>
    <w:tmpl w:val="D4DC85C6"/>
    <w:lvl w:ilvl="0" w:tplc="A386DE18">
      <w:start w:val="1"/>
      <w:numFmt w:val="decimal"/>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103FFF"/>
    <w:multiLevelType w:val="hybridMultilevel"/>
    <w:tmpl w:val="91F022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4E3A3B"/>
    <w:multiLevelType w:val="hybridMultilevel"/>
    <w:tmpl w:val="4A447B80"/>
    <w:lvl w:ilvl="0" w:tplc="596606BC">
      <w:start w:val="1"/>
      <w:numFmt w:val="upperRoman"/>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92B3DF9"/>
    <w:multiLevelType w:val="hybridMultilevel"/>
    <w:tmpl w:val="9314C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625A3A"/>
    <w:multiLevelType w:val="hybridMultilevel"/>
    <w:tmpl w:val="7C042C5A"/>
    <w:lvl w:ilvl="0" w:tplc="02863786">
      <w:start w:val="1"/>
      <w:numFmt w:val="lowerLetter"/>
      <w:lvlText w:val="%1)"/>
      <w:lvlJc w:val="left"/>
      <w:pPr>
        <w:ind w:left="1800" w:hanging="360"/>
      </w:pPr>
      <w:rPr>
        <w:rFonts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1805B68"/>
    <w:multiLevelType w:val="hybridMultilevel"/>
    <w:tmpl w:val="E0800B14"/>
    <w:lvl w:ilvl="0" w:tplc="83E2EA68">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374225"/>
    <w:multiLevelType w:val="hybridMultilevel"/>
    <w:tmpl w:val="8D9E8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864407"/>
    <w:multiLevelType w:val="hybridMultilevel"/>
    <w:tmpl w:val="E6F6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861C5"/>
    <w:multiLevelType w:val="hybridMultilevel"/>
    <w:tmpl w:val="4CF24D16"/>
    <w:lvl w:ilvl="0" w:tplc="59660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37318C"/>
    <w:multiLevelType w:val="hybridMultilevel"/>
    <w:tmpl w:val="2B18B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1FB1A20"/>
    <w:multiLevelType w:val="hybridMultilevel"/>
    <w:tmpl w:val="C9C654FE"/>
    <w:lvl w:ilvl="0" w:tplc="0DAC02E8">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F93424"/>
    <w:multiLevelType w:val="hybridMultilevel"/>
    <w:tmpl w:val="F32EBF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06764D"/>
    <w:multiLevelType w:val="hybridMultilevel"/>
    <w:tmpl w:val="97ECA94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160F0C"/>
    <w:multiLevelType w:val="hybridMultilevel"/>
    <w:tmpl w:val="7E7A75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9152AB5"/>
    <w:multiLevelType w:val="hybridMultilevel"/>
    <w:tmpl w:val="318A0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BD27A6"/>
    <w:multiLevelType w:val="hybridMultilevel"/>
    <w:tmpl w:val="9F8EB6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961A57"/>
    <w:multiLevelType w:val="hybridMultilevel"/>
    <w:tmpl w:val="6924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F341D7"/>
    <w:multiLevelType w:val="hybridMultilevel"/>
    <w:tmpl w:val="1158DCB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38F127E"/>
    <w:multiLevelType w:val="hybridMultilevel"/>
    <w:tmpl w:val="48509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A1D0CE9"/>
    <w:multiLevelType w:val="multilevel"/>
    <w:tmpl w:val="13E4896C"/>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40" w15:restartNumberingAfterBreak="0">
    <w:nsid w:val="7AD93320"/>
    <w:multiLevelType w:val="hybridMultilevel"/>
    <w:tmpl w:val="36DAADC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EBF336B"/>
    <w:multiLevelType w:val="hybridMultilevel"/>
    <w:tmpl w:val="BE7E9D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48065658">
    <w:abstractNumId w:val="28"/>
  </w:num>
  <w:num w:numId="2" w16cid:durableId="370231355">
    <w:abstractNumId w:val="22"/>
  </w:num>
  <w:num w:numId="3" w16cid:durableId="975183293">
    <w:abstractNumId w:val="30"/>
  </w:num>
  <w:num w:numId="4" w16cid:durableId="535896228">
    <w:abstractNumId w:val="12"/>
  </w:num>
  <w:num w:numId="5" w16cid:durableId="1950157426">
    <w:abstractNumId w:val="40"/>
  </w:num>
  <w:num w:numId="6" w16cid:durableId="1797210635">
    <w:abstractNumId w:val="14"/>
  </w:num>
  <w:num w:numId="7" w16cid:durableId="1501193079">
    <w:abstractNumId w:val="2"/>
  </w:num>
  <w:num w:numId="8" w16cid:durableId="1475483029">
    <w:abstractNumId w:val="4"/>
  </w:num>
  <w:num w:numId="9" w16cid:durableId="834801524">
    <w:abstractNumId w:val="9"/>
  </w:num>
  <w:num w:numId="10" w16cid:durableId="412093605">
    <w:abstractNumId w:val="15"/>
  </w:num>
  <w:num w:numId="11" w16cid:durableId="760563182">
    <w:abstractNumId w:val="17"/>
  </w:num>
  <w:num w:numId="12" w16cid:durableId="332614472">
    <w:abstractNumId w:val="3"/>
  </w:num>
  <w:num w:numId="13" w16cid:durableId="2003772170">
    <w:abstractNumId w:val="5"/>
  </w:num>
  <w:num w:numId="14" w16cid:durableId="1737318434">
    <w:abstractNumId w:val="33"/>
  </w:num>
  <w:num w:numId="15" w16cid:durableId="1571694476">
    <w:abstractNumId w:val="37"/>
  </w:num>
  <w:num w:numId="16" w16cid:durableId="1244416810">
    <w:abstractNumId w:val="6"/>
  </w:num>
  <w:num w:numId="17" w16cid:durableId="2045476041">
    <w:abstractNumId w:val="35"/>
  </w:num>
  <w:num w:numId="18" w16cid:durableId="877081599">
    <w:abstractNumId w:val="32"/>
  </w:num>
  <w:num w:numId="19" w16cid:durableId="749229102">
    <w:abstractNumId w:val="18"/>
  </w:num>
  <w:num w:numId="20" w16cid:durableId="1329751705">
    <w:abstractNumId w:val="1"/>
  </w:num>
  <w:num w:numId="21" w16cid:durableId="1281954295">
    <w:abstractNumId w:val="20"/>
  </w:num>
  <w:num w:numId="22" w16cid:durableId="453867221">
    <w:abstractNumId w:val="10"/>
  </w:num>
  <w:num w:numId="23" w16cid:durableId="2103061195">
    <w:abstractNumId w:val="34"/>
  </w:num>
  <w:num w:numId="24" w16cid:durableId="1131291245">
    <w:abstractNumId w:val="31"/>
  </w:num>
  <w:num w:numId="25" w16cid:durableId="1921527226">
    <w:abstractNumId w:val="26"/>
  </w:num>
  <w:num w:numId="26" w16cid:durableId="280377360">
    <w:abstractNumId w:val="38"/>
  </w:num>
  <w:num w:numId="27" w16cid:durableId="970481022">
    <w:abstractNumId w:val="23"/>
  </w:num>
  <w:num w:numId="28" w16cid:durableId="486479528">
    <w:abstractNumId w:val="29"/>
  </w:num>
  <w:num w:numId="29" w16cid:durableId="1461222706">
    <w:abstractNumId w:val="36"/>
  </w:num>
  <w:num w:numId="30" w16cid:durableId="591475575">
    <w:abstractNumId w:val="8"/>
  </w:num>
  <w:num w:numId="31" w16cid:durableId="1611429507">
    <w:abstractNumId w:val="7"/>
  </w:num>
  <w:num w:numId="32" w16cid:durableId="1185635530">
    <w:abstractNumId w:val="24"/>
  </w:num>
  <w:num w:numId="33" w16cid:durableId="1295021184">
    <w:abstractNumId w:val="0"/>
  </w:num>
  <w:num w:numId="34" w16cid:durableId="2096127410">
    <w:abstractNumId w:val="16"/>
  </w:num>
  <w:num w:numId="35" w16cid:durableId="87117041">
    <w:abstractNumId w:val="41"/>
  </w:num>
  <w:num w:numId="36" w16cid:durableId="1685866133">
    <w:abstractNumId w:val="27"/>
  </w:num>
  <w:num w:numId="37" w16cid:durableId="1275677520">
    <w:abstractNumId w:val="11"/>
  </w:num>
  <w:num w:numId="38" w16cid:durableId="1637639487">
    <w:abstractNumId w:val="25"/>
  </w:num>
  <w:num w:numId="39" w16cid:durableId="2011832795">
    <w:abstractNumId w:val="19"/>
  </w:num>
  <w:num w:numId="40" w16cid:durableId="405764295">
    <w:abstractNumId w:val="39"/>
  </w:num>
  <w:num w:numId="41" w16cid:durableId="118256879">
    <w:abstractNumId w:val="13"/>
  </w:num>
  <w:num w:numId="42" w16cid:durableId="15731376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A47"/>
    <w:rsid w:val="00014005"/>
    <w:rsid w:val="0003498A"/>
    <w:rsid w:val="00056849"/>
    <w:rsid w:val="00062FEE"/>
    <w:rsid w:val="00164BAB"/>
    <w:rsid w:val="001978C3"/>
    <w:rsid w:val="001A47E6"/>
    <w:rsid w:val="001D7652"/>
    <w:rsid w:val="001F0423"/>
    <w:rsid w:val="00212568"/>
    <w:rsid w:val="00267609"/>
    <w:rsid w:val="00327840"/>
    <w:rsid w:val="00345935"/>
    <w:rsid w:val="00367BF0"/>
    <w:rsid w:val="003A5CA0"/>
    <w:rsid w:val="003A5D2A"/>
    <w:rsid w:val="003F2298"/>
    <w:rsid w:val="00420D21"/>
    <w:rsid w:val="00424800"/>
    <w:rsid w:val="0049511D"/>
    <w:rsid w:val="004D6386"/>
    <w:rsid w:val="004E5EC9"/>
    <w:rsid w:val="004F33E1"/>
    <w:rsid w:val="005A2BE3"/>
    <w:rsid w:val="005C41FE"/>
    <w:rsid w:val="00637829"/>
    <w:rsid w:val="00666668"/>
    <w:rsid w:val="00670421"/>
    <w:rsid w:val="006972ED"/>
    <w:rsid w:val="006C3FDB"/>
    <w:rsid w:val="00704593"/>
    <w:rsid w:val="00732446"/>
    <w:rsid w:val="0075077A"/>
    <w:rsid w:val="007541D6"/>
    <w:rsid w:val="007901D5"/>
    <w:rsid w:val="007C43F0"/>
    <w:rsid w:val="007D38B4"/>
    <w:rsid w:val="007F490D"/>
    <w:rsid w:val="007F5A47"/>
    <w:rsid w:val="007F6584"/>
    <w:rsid w:val="00827B3F"/>
    <w:rsid w:val="0084600D"/>
    <w:rsid w:val="008624DF"/>
    <w:rsid w:val="00870A22"/>
    <w:rsid w:val="008719F9"/>
    <w:rsid w:val="008755F0"/>
    <w:rsid w:val="008C2546"/>
    <w:rsid w:val="008C44C1"/>
    <w:rsid w:val="0093629F"/>
    <w:rsid w:val="00970C65"/>
    <w:rsid w:val="00992F9C"/>
    <w:rsid w:val="009E3D5C"/>
    <w:rsid w:val="00A23F1E"/>
    <w:rsid w:val="00A346A3"/>
    <w:rsid w:val="00A367B2"/>
    <w:rsid w:val="00A732DC"/>
    <w:rsid w:val="00A86A91"/>
    <w:rsid w:val="00AA0E63"/>
    <w:rsid w:val="00AE0D46"/>
    <w:rsid w:val="00B2574E"/>
    <w:rsid w:val="00B50A73"/>
    <w:rsid w:val="00B61D6C"/>
    <w:rsid w:val="00BA6B2A"/>
    <w:rsid w:val="00BB017E"/>
    <w:rsid w:val="00C04AA9"/>
    <w:rsid w:val="00C063B0"/>
    <w:rsid w:val="00C2331D"/>
    <w:rsid w:val="00C45B47"/>
    <w:rsid w:val="00C91379"/>
    <w:rsid w:val="00CB2988"/>
    <w:rsid w:val="00CC5A2D"/>
    <w:rsid w:val="00CD1D31"/>
    <w:rsid w:val="00D768ED"/>
    <w:rsid w:val="00D96506"/>
    <w:rsid w:val="00DA3EEA"/>
    <w:rsid w:val="00DC3534"/>
    <w:rsid w:val="00E04D66"/>
    <w:rsid w:val="00E128C2"/>
    <w:rsid w:val="00E3627D"/>
    <w:rsid w:val="00E92B30"/>
    <w:rsid w:val="00EC6A6E"/>
    <w:rsid w:val="00EC7663"/>
    <w:rsid w:val="00EE5A50"/>
    <w:rsid w:val="00F04658"/>
    <w:rsid w:val="00F14134"/>
    <w:rsid w:val="00F320A8"/>
    <w:rsid w:val="00F356B3"/>
    <w:rsid w:val="00F7342B"/>
    <w:rsid w:val="00FB6A50"/>
    <w:rsid w:val="00FC3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C446"/>
  <w15:docId w15:val="{E2535D98-CAB3-4B98-81E0-7BADF82E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A47"/>
  </w:style>
  <w:style w:type="paragraph" w:styleId="Footer">
    <w:name w:val="footer"/>
    <w:basedOn w:val="Normal"/>
    <w:link w:val="FooterChar"/>
    <w:uiPriority w:val="99"/>
    <w:unhideWhenUsed/>
    <w:rsid w:val="007F5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A47"/>
  </w:style>
  <w:style w:type="table" w:styleId="TableGrid">
    <w:name w:val="Table Grid"/>
    <w:basedOn w:val="TableNormal"/>
    <w:uiPriority w:val="59"/>
    <w:rsid w:val="007F5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5A47"/>
    <w:pPr>
      <w:ind w:left="720"/>
      <w:contextualSpacing/>
    </w:pPr>
  </w:style>
  <w:style w:type="character" w:styleId="Hyperlink">
    <w:name w:val="Hyperlink"/>
    <w:basedOn w:val="DefaultParagraphFont"/>
    <w:uiPriority w:val="99"/>
    <w:unhideWhenUsed/>
    <w:rsid w:val="004E5EC9"/>
    <w:rPr>
      <w:color w:val="0000FF" w:themeColor="hyperlink"/>
      <w:u w:val="single"/>
    </w:rPr>
  </w:style>
  <w:style w:type="paragraph" w:customStyle="1" w:styleId="Default">
    <w:name w:val="Default"/>
    <w:rsid w:val="00DC35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Stanford Hospital and Clinics</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LTI-Image</dc:creator>
  <cp:keywords/>
  <dc:description/>
  <cp:lastModifiedBy>Huynh-Ngo, Thang</cp:lastModifiedBy>
  <cp:revision>3</cp:revision>
  <cp:lastPrinted>2012-05-16T20:57:00Z</cp:lastPrinted>
  <dcterms:created xsi:type="dcterms:W3CDTF">2022-04-15T17:47:00Z</dcterms:created>
  <dcterms:modified xsi:type="dcterms:W3CDTF">2023-06-12T16:32:00Z</dcterms:modified>
</cp:coreProperties>
</file>